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版本号：ZMZB2026STY-3120260402001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隧道多功能衬砌加载平台设备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ZMZB2026STY-31</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隧道多功能衬砌加载平台设备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ZMZB2026STY-31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隧道多功能衬砌加载平台设备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隧道多功能衬砌加载平台设备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1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台式操作终端、便携式操作终端、输出激光打印机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台式操作终端、便携式操作终端、输出激光打印机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代理服务费收费标准：按国家计委关于印发《采购代理服务收费管理暂行办法的通知》（计价格[2002]1980号）规定的标准下浮20%收取代理服务费。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隧道多功能衬砌加载平台设备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隧道多功能衬砌加载平台设备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标的名称：隧道多功能衬砌加载平台设备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一：平台用途</w:t>
            </w:r>
          </w:p>
          <w:p>
            <w:pPr>
              <w:pStyle w:val="null3"/>
              <w:jc w:val="both"/>
            </w:pPr>
            <w:r>
              <w:rPr>
                <w:rFonts w:ascii="仿宋_GB2312" w:hAnsi="仿宋_GB2312" w:cs="仿宋_GB2312" w:eastAsia="仿宋_GB2312"/>
                <w:sz w:val="21"/>
              </w:rPr>
              <w:t>1.平台适用地铁盾构多种类型管片的加载试验，支持室内隧道衬砌结构受力、应力、应变、变形数据采集，地质水文仿真，实现震动、水及围岩压力等复杂环境作用下隧道结构动力响应功能，揭示衬砌破坏规律。</w:t>
            </w:r>
          </w:p>
          <w:p>
            <w:pPr>
              <w:pStyle w:val="null3"/>
              <w:jc w:val="both"/>
            </w:pPr>
            <w:r>
              <w:rPr>
                <w:rFonts w:ascii="仿宋_GB2312" w:hAnsi="仿宋_GB2312" w:cs="仿宋_GB2312" w:eastAsia="仿宋_GB2312"/>
                <w:sz w:val="21"/>
              </w:rPr>
              <w:t>二：平台组成</w:t>
            </w:r>
          </w:p>
          <w:p>
            <w:pPr>
              <w:pStyle w:val="null3"/>
              <w:jc w:val="both"/>
            </w:pPr>
            <w:r>
              <w:rPr>
                <w:rFonts w:ascii="仿宋_GB2312" w:hAnsi="仿宋_GB2312" w:cs="仿宋_GB2312" w:eastAsia="仿宋_GB2312"/>
                <w:sz w:val="21"/>
              </w:rPr>
              <w:t>2.平台包括伺服加载机1台、多功能加载系统1套、64通道数据采集箱1台、水箱1个，隧道常规地层模型1套，台式操作终端4台、便携式操作终端4台、输出激光打印机4台，长航程微型无人机4台，用于搭建隧道室内加载支撑平台。</w:t>
            </w:r>
          </w:p>
          <w:p>
            <w:pPr>
              <w:pStyle w:val="null3"/>
              <w:jc w:val="both"/>
            </w:pPr>
            <w:r>
              <w:rPr>
                <w:rFonts w:ascii="仿宋_GB2312" w:hAnsi="仿宋_GB2312" w:cs="仿宋_GB2312" w:eastAsia="仿宋_GB2312"/>
                <w:sz w:val="21"/>
              </w:rPr>
              <w:t>三：平台运行参数</w:t>
            </w:r>
          </w:p>
          <w:p>
            <w:pPr>
              <w:pStyle w:val="null3"/>
              <w:jc w:val="both"/>
            </w:pPr>
            <w:r>
              <w:rPr>
                <w:rFonts w:ascii="仿宋_GB2312" w:hAnsi="仿宋_GB2312" w:cs="仿宋_GB2312" w:eastAsia="仿宋_GB2312"/>
                <w:sz w:val="21"/>
              </w:rPr>
              <w:t>3.伺服加载动力机构：液压缸为双作用，加载行程：0-150mm。</w:t>
            </w:r>
          </w:p>
          <w:p>
            <w:pPr>
              <w:pStyle w:val="null3"/>
              <w:jc w:val="both"/>
            </w:pPr>
            <w:r>
              <w:rPr>
                <w:rFonts w:ascii="仿宋_GB2312" w:hAnsi="仿宋_GB2312" w:cs="仿宋_GB2312" w:eastAsia="仿宋_GB2312"/>
                <w:sz w:val="21"/>
              </w:rPr>
              <w:t>4.油缸满量程对应的压力：0.1-60MPa。</w:t>
            </w:r>
          </w:p>
          <w:p>
            <w:pPr>
              <w:pStyle w:val="null3"/>
              <w:jc w:val="both"/>
            </w:pPr>
            <w:r>
              <w:rPr>
                <w:rFonts w:ascii="仿宋_GB2312" w:hAnsi="仿宋_GB2312" w:cs="仿宋_GB2312" w:eastAsia="仿宋_GB2312"/>
                <w:sz w:val="21"/>
              </w:rPr>
              <w:t>5.加载满量程：200KN。</w:t>
            </w:r>
          </w:p>
          <w:p>
            <w:pPr>
              <w:pStyle w:val="null3"/>
              <w:jc w:val="both"/>
            </w:pPr>
            <w:r>
              <w:rPr>
                <w:rFonts w:ascii="仿宋_GB2312" w:hAnsi="仿宋_GB2312" w:cs="仿宋_GB2312" w:eastAsia="仿宋_GB2312"/>
                <w:sz w:val="21"/>
              </w:rPr>
              <w:t>6.示值误差：4%～100%FS 范围内，≤±1%。</w:t>
            </w:r>
          </w:p>
          <w:p>
            <w:pPr>
              <w:pStyle w:val="null3"/>
              <w:jc w:val="both"/>
            </w:pPr>
            <w:r>
              <w:rPr>
                <w:rFonts w:ascii="仿宋_GB2312" w:hAnsi="仿宋_GB2312" w:cs="仿宋_GB2312" w:eastAsia="仿宋_GB2312"/>
                <w:sz w:val="21"/>
              </w:rPr>
              <w:t>7.位移量程：0-200mm，分辨力为：0.001mm。</w:t>
            </w:r>
          </w:p>
          <w:p>
            <w:pPr>
              <w:pStyle w:val="null3"/>
              <w:jc w:val="both"/>
            </w:pPr>
            <w:r>
              <w:rPr>
                <w:rFonts w:ascii="仿宋_GB2312" w:hAnsi="仿宋_GB2312" w:cs="仿宋_GB2312" w:eastAsia="仿宋_GB2312"/>
                <w:sz w:val="21"/>
              </w:rPr>
              <w:t>8.位移测量精度：≤±0.5%。</w:t>
            </w:r>
          </w:p>
          <w:p>
            <w:pPr>
              <w:pStyle w:val="null3"/>
              <w:jc w:val="both"/>
            </w:pPr>
            <w:r>
              <w:rPr>
                <w:rFonts w:ascii="仿宋_GB2312" w:hAnsi="仿宋_GB2312" w:cs="仿宋_GB2312" w:eastAsia="仿宋_GB2312"/>
                <w:sz w:val="21"/>
              </w:rPr>
              <w:t>四：加载及震动模拟装置</w:t>
            </w:r>
          </w:p>
          <w:p>
            <w:pPr>
              <w:pStyle w:val="null3"/>
              <w:jc w:val="both"/>
            </w:pPr>
            <w:r>
              <w:rPr>
                <w:rFonts w:ascii="仿宋_GB2312" w:hAnsi="仿宋_GB2312" w:cs="仿宋_GB2312" w:eastAsia="仿宋_GB2312"/>
                <w:sz w:val="21"/>
              </w:rPr>
              <w:t>▲9.金属反力加载装置：尺寸≥200cm×210cm×150cm,采用高强度钢板焊接制作，退火消除应力，再喷砂抛丸。金属框架为门式结构，分为C型上框架和底座结构，两者用高强螺栓进行组装；底座上安装有进出衬砌模型的轨道和进出平台，模型安装在进出平台上完成二者的组合加压。</w:t>
            </w:r>
          </w:p>
          <w:p>
            <w:pPr>
              <w:pStyle w:val="null3"/>
              <w:jc w:val="both"/>
            </w:pPr>
            <w:r>
              <w:rPr>
                <w:rFonts w:ascii="仿宋_GB2312" w:hAnsi="仿宋_GB2312" w:cs="仿宋_GB2312" w:eastAsia="仿宋_GB2312"/>
                <w:sz w:val="21"/>
              </w:rPr>
              <w:t>▲10.围岩模拟箱，箱体内部尺寸：≥100cm×80cm×30cm；具备前端面透明可视化窗口，并且具备耐压密封功能和开挖圆形、马蹄形、双连拱形隧道开孔功能，采用高强度钢板焊接制作，退火消除应力，再喷砂抛丸，可视面采用高强钢化透明板制作，箱体具备加压和密封功能，防止水渗漏，要求承受压力：≥0.6MPa，同时要求提供匹配的圆形、马蹄形、双连拱形衬砌模具各1套。</w:t>
            </w:r>
          </w:p>
          <w:p>
            <w:pPr>
              <w:pStyle w:val="null3"/>
              <w:jc w:val="both"/>
            </w:pPr>
            <w:r>
              <w:rPr>
                <w:rFonts w:ascii="仿宋_GB2312" w:hAnsi="仿宋_GB2312" w:cs="仿宋_GB2312" w:eastAsia="仿宋_GB2312"/>
                <w:sz w:val="21"/>
              </w:rPr>
              <w:t>▲11.全封闭伺服加压油源，1套，容积≥100L，油泵流量：≥3L/min低噪音齿轮泵电机：功率1.5KW，电压：AC380V，电控箱控制电压：AC220V，高压滤油器：≤10μm，高精度伺服阀：流量≥5L/min，带有油泵、电机、电控柜、高压滤油器和相应的管路等；高精度伺服阀，实现精确控制，带换向阀、减压阀等阀组。配备溢流阀，换向阀，减压阀等控制阀组。包含液压管路、分阀等部件及安装施工，要求提供配套68号抗磨液压油。</w:t>
            </w:r>
          </w:p>
          <w:p>
            <w:pPr>
              <w:pStyle w:val="null3"/>
              <w:jc w:val="both"/>
            </w:pPr>
            <w:r>
              <w:rPr>
                <w:rFonts w:ascii="仿宋_GB2312" w:hAnsi="仿宋_GB2312" w:cs="仿宋_GB2312" w:eastAsia="仿宋_GB2312"/>
                <w:sz w:val="21"/>
              </w:rPr>
              <w:t>五：地震模拟装置</w:t>
            </w:r>
          </w:p>
          <w:p>
            <w:pPr>
              <w:pStyle w:val="null3"/>
              <w:jc w:val="both"/>
            </w:pPr>
            <w:r>
              <w:rPr>
                <w:rFonts w:ascii="仿宋_GB2312" w:hAnsi="仿宋_GB2312" w:cs="仿宋_GB2312" w:eastAsia="仿宋_GB2312"/>
                <w:sz w:val="21"/>
              </w:rPr>
              <w:t>主要由底座、动力机构、驱动器、控制器、试验控制软件等组成。</w:t>
            </w:r>
          </w:p>
          <w:p>
            <w:pPr>
              <w:pStyle w:val="null3"/>
              <w:jc w:val="both"/>
            </w:pPr>
            <w:r>
              <w:rPr>
                <w:rFonts w:ascii="仿宋_GB2312" w:hAnsi="仿宋_GB2312" w:cs="仿宋_GB2312" w:eastAsia="仿宋_GB2312"/>
                <w:sz w:val="21"/>
              </w:rPr>
              <w:t>12.设备主框架采用高强度锰钢焊接，机械加工，总装调试，表面防锈处理，保证设备刚度。</w:t>
            </w:r>
          </w:p>
          <w:p>
            <w:pPr>
              <w:pStyle w:val="null3"/>
              <w:jc w:val="both"/>
            </w:pPr>
            <w:r>
              <w:rPr>
                <w:rFonts w:ascii="仿宋_GB2312" w:hAnsi="仿宋_GB2312" w:cs="仿宋_GB2312" w:eastAsia="仿宋_GB2312"/>
                <w:sz w:val="21"/>
              </w:rPr>
              <w:t>13.动态加载油缸系统压力≤21MPa,需带有控制压强≥60MPa的伺服比例阀一只。</w:t>
            </w:r>
          </w:p>
          <w:p>
            <w:pPr>
              <w:pStyle w:val="null3"/>
              <w:jc w:val="both"/>
            </w:pPr>
            <w:r>
              <w:rPr>
                <w:rFonts w:ascii="仿宋_GB2312" w:hAnsi="仿宋_GB2312" w:cs="仿宋_GB2312" w:eastAsia="仿宋_GB2312"/>
                <w:sz w:val="21"/>
              </w:rPr>
              <w:t>六：水害模拟装置</w:t>
            </w:r>
          </w:p>
          <w:p>
            <w:pPr>
              <w:pStyle w:val="null3"/>
              <w:jc w:val="both"/>
            </w:pPr>
            <w:r>
              <w:rPr>
                <w:rFonts w:ascii="仿宋_GB2312" w:hAnsi="仿宋_GB2312" w:cs="仿宋_GB2312" w:eastAsia="仿宋_GB2312"/>
                <w:sz w:val="21"/>
              </w:rPr>
              <w:t>14.水害模拟装置主要由储水罐、进水管路组成，对橡胶软管管周进行打孔，填料时将其预埋，同时橡胶软管外接储水罐，为模型提供不间断的模拟水源。</w:t>
            </w:r>
          </w:p>
          <w:p>
            <w:pPr>
              <w:pStyle w:val="null3"/>
              <w:jc w:val="both"/>
            </w:pPr>
            <w:r>
              <w:rPr>
                <w:rFonts w:ascii="仿宋_GB2312" w:hAnsi="仿宋_GB2312" w:cs="仿宋_GB2312" w:eastAsia="仿宋_GB2312"/>
                <w:sz w:val="21"/>
              </w:rPr>
              <w:t>15.水压控制采用电脑编程控制和自然水头配合加压，最大水压：≥0.6MPa。</w:t>
            </w:r>
          </w:p>
          <w:p>
            <w:pPr>
              <w:pStyle w:val="null3"/>
              <w:jc w:val="both"/>
            </w:pPr>
            <w:r>
              <w:rPr>
                <w:rFonts w:ascii="仿宋_GB2312" w:hAnsi="仿宋_GB2312" w:cs="仿宋_GB2312" w:eastAsia="仿宋_GB2312"/>
                <w:sz w:val="21"/>
              </w:rPr>
              <w:t>16.在模型箱的前、后板位置切割出隧道洞口，可实现隧道的对向开挖模型试验。</w:t>
            </w:r>
          </w:p>
          <w:p>
            <w:pPr>
              <w:pStyle w:val="null3"/>
              <w:jc w:val="both"/>
            </w:pPr>
            <w:r>
              <w:rPr>
                <w:rFonts w:ascii="仿宋_GB2312" w:hAnsi="仿宋_GB2312" w:cs="仿宋_GB2312" w:eastAsia="仿宋_GB2312"/>
                <w:sz w:val="21"/>
              </w:rPr>
              <w:t>17.通过设置不同材料，可以模拟活动断裂错动试验。</w:t>
            </w:r>
          </w:p>
          <w:p>
            <w:pPr>
              <w:pStyle w:val="null3"/>
              <w:jc w:val="both"/>
            </w:pPr>
            <w:r>
              <w:rPr>
                <w:rFonts w:ascii="仿宋_GB2312" w:hAnsi="仿宋_GB2312" w:cs="仿宋_GB2312" w:eastAsia="仿宋_GB2312"/>
                <w:sz w:val="21"/>
              </w:rPr>
              <w:t>18.全封闭标准伺服油箱，距离1m位置测得的噪音≤65dB。</w:t>
            </w:r>
          </w:p>
          <w:p>
            <w:pPr>
              <w:pStyle w:val="null3"/>
              <w:jc w:val="both"/>
            </w:pPr>
            <w:r>
              <w:rPr>
                <w:rFonts w:ascii="仿宋_GB2312" w:hAnsi="仿宋_GB2312" w:cs="仿宋_GB2312" w:eastAsia="仿宋_GB2312"/>
                <w:sz w:val="21"/>
              </w:rPr>
              <w:t>19.作动器包含作动器本体、力值传感器、位移传感器、球铰等；作动器的控制功能包括：力控制、位移控制，可设置一定的循环步骤。并可在多种控制方式间实现无冲击转换，实现全自动闭环控制。举例第1步位移控制0.03mm/s,目标载荷1kN，保持时间50秒。第2步载荷控制0.5kN/s,目标应力10kPa，保持时间10分钟。第3步位移控制0.2mm/s,位移增量20mm。第4步位移控制0.5mm/s,目标载荷2kN，保持时间2小时。</w:t>
            </w:r>
          </w:p>
          <w:p>
            <w:pPr>
              <w:pStyle w:val="null3"/>
              <w:jc w:val="both"/>
            </w:pPr>
            <w:r>
              <w:rPr>
                <w:rFonts w:ascii="仿宋_GB2312" w:hAnsi="仿宋_GB2312" w:cs="仿宋_GB2312" w:eastAsia="仿宋_GB2312"/>
                <w:sz w:val="21"/>
              </w:rPr>
              <w:t>七：软件系统</w:t>
            </w:r>
          </w:p>
          <w:p>
            <w:pPr>
              <w:pStyle w:val="null3"/>
              <w:jc w:val="both"/>
            </w:pPr>
            <w:r>
              <w:rPr>
                <w:rFonts w:ascii="仿宋_GB2312" w:hAnsi="仿宋_GB2312" w:cs="仿宋_GB2312" w:eastAsia="仿宋_GB2312"/>
                <w:sz w:val="21"/>
              </w:rPr>
              <w:t>20.软件可选的波形有正弦波、斜波、三角波、方波，以及自由编程波形。</w:t>
            </w:r>
          </w:p>
          <w:p>
            <w:pPr>
              <w:pStyle w:val="null3"/>
              <w:jc w:val="both"/>
            </w:pPr>
            <w:r>
              <w:rPr>
                <w:rFonts w:ascii="仿宋_GB2312" w:hAnsi="仿宋_GB2312" w:cs="仿宋_GB2312" w:eastAsia="仿宋_GB2312"/>
                <w:sz w:val="21"/>
              </w:rPr>
              <w:t>21.实验步骤的结束条件，可选择：负荷值、位移值、变形值、应力值、应变值、载荷衰减率、负荷增量、位移增强、变形增量、应力增量、应变增量、衰减载荷值等，达到该条件后，自动停止实验，并自动记录数据和曲线。</w:t>
            </w:r>
          </w:p>
          <w:p>
            <w:pPr>
              <w:pStyle w:val="null3"/>
              <w:jc w:val="both"/>
            </w:pPr>
            <w:r>
              <w:rPr>
                <w:rFonts w:ascii="仿宋_GB2312" w:hAnsi="仿宋_GB2312" w:cs="仿宋_GB2312" w:eastAsia="仿宋_GB2312"/>
                <w:sz w:val="21"/>
              </w:rPr>
              <w:t>22.为了保证高闭环控制速率和地震模拟试验高频响特性，控制系统数据采集频率≥5kHz。</w:t>
            </w:r>
          </w:p>
          <w:p>
            <w:pPr>
              <w:pStyle w:val="null3"/>
              <w:jc w:val="both"/>
            </w:pPr>
            <w:r>
              <w:rPr>
                <w:rFonts w:ascii="仿宋_GB2312" w:hAnsi="仿宋_GB2312" w:cs="仿宋_GB2312" w:eastAsia="仿宋_GB2312"/>
                <w:sz w:val="21"/>
              </w:rPr>
              <w:t>23.软件支持小组件删除、网格修复、钉状物去除让网格优化功能，无需借助第三方处理；输出同步跟踪同步信号。</w:t>
            </w:r>
          </w:p>
          <w:p>
            <w:pPr>
              <w:pStyle w:val="null3"/>
              <w:jc w:val="both"/>
            </w:pPr>
            <w:r>
              <w:rPr>
                <w:rFonts w:ascii="仿宋_GB2312" w:hAnsi="仿宋_GB2312" w:cs="仿宋_GB2312" w:eastAsia="仿宋_GB2312"/>
                <w:sz w:val="21"/>
              </w:rPr>
              <w:t>24.软件具有数值可调的保护功能，分别设置各个作动器的位移、试验力、变形保护值，达到保护值时试验会自动停止。</w:t>
            </w:r>
          </w:p>
          <w:p>
            <w:pPr>
              <w:pStyle w:val="null3"/>
              <w:jc w:val="both"/>
            </w:pPr>
            <w:r>
              <w:rPr>
                <w:rFonts w:ascii="仿宋_GB2312" w:hAnsi="仿宋_GB2312" w:cs="仿宋_GB2312" w:eastAsia="仿宋_GB2312"/>
                <w:sz w:val="21"/>
              </w:rPr>
              <w:t>八：围岩模拟装置</w:t>
            </w:r>
          </w:p>
          <w:p>
            <w:pPr>
              <w:pStyle w:val="null3"/>
              <w:jc w:val="both"/>
            </w:pPr>
            <w:r>
              <w:rPr>
                <w:rFonts w:ascii="仿宋_GB2312" w:hAnsi="仿宋_GB2312" w:cs="仿宋_GB2312" w:eastAsia="仿宋_GB2312"/>
                <w:sz w:val="21"/>
              </w:rPr>
              <w:t>25.基于隧道正常围岩和软弱夹层配置材料，在正常围岩与活动断裂之间设置挡板，两侧分别分层填铺两种相似材料，单层填铺高度 10cm。填筑材料同时按监测方案在预定位置埋设监测传感器，连续填筑相似材料至模型箱标高。提供挡板及详细作业方案和三维效果图。</w:t>
            </w:r>
          </w:p>
          <w:p>
            <w:pPr>
              <w:pStyle w:val="null3"/>
              <w:jc w:val="both"/>
            </w:pPr>
            <w:r>
              <w:rPr>
                <w:rFonts w:ascii="仿宋_GB2312" w:hAnsi="仿宋_GB2312" w:cs="仿宋_GB2312" w:eastAsia="仿宋_GB2312"/>
                <w:sz w:val="21"/>
              </w:rPr>
              <w:t>九：静态数据采集装置</w:t>
            </w:r>
          </w:p>
          <w:p>
            <w:pPr>
              <w:pStyle w:val="null3"/>
              <w:jc w:val="both"/>
            </w:pPr>
            <w:r>
              <w:rPr>
                <w:rFonts w:ascii="仿宋_GB2312" w:hAnsi="仿宋_GB2312" w:cs="仿宋_GB2312" w:eastAsia="仿宋_GB2312"/>
                <w:sz w:val="21"/>
              </w:rPr>
              <w:t>▲26.数据采集系统，所有通道采样频率5Hz；通道数量至少64通道。每四个通道取一通道工作时，该通道采样速率可达 200Hz。计算机通过百兆以太网、无线 Wifi 控制无限多台仪器并机工作。可完成全桥、半桥、1/4 桥（三线制自补偿）、1/4 桥（公共补偿）状态的静态应力应变的多点检测；支持 0-2V 及±60mV 两档电压测量。</w:t>
            </w:r>
          </w:p>
          <w:p>
            <w:pPr>
              <w:pStyle w:val="null3"/>
              <w:jc w:val="both"/>
            </w:pPr>
            <w:r>
              <w:rPr>
                <w:rFonts w:ascii="仿宋_GB2312" w:hAnsi="仿宋_GB2312" w:cs="仿宋_GB2312" w:eastAsia="仿宋_GB2312"/>
                <w:sz w:val="21"/>
              </w:rPr>
              <w:t>27.带有土压力盒≥1MPa的16只，孔隙水压力传感器≥200kPa的20只；加速度传感器≥2.0g的1只；位移计≥30mm的20只。</w:t>
            </w:r>
          </w:p>
          <w:p>
            <w:pPr>
              <w:pStyle w:val="null3"/>
              <w:jc w:val="both"/>
            </w:pPr>
            <w:r>
              <w:rPr>
                <w:rFonts w:ascii="仿宋_GB2312" w:hAnsi="仿宋_GB2312" w:cs="仿宋_GB2312" w:eastAsia="仿宋_GB2312"/>
                <w:sz w:val="21"/>
              </w:rPr>
              <w:t>十：动态无人数据采集装置</w:t>
            </w:r>
          </w:p>
          <w:p>
            <w:pPr>
              <w:pStyle w:val="null3"/>
              <w:jc w:val="both"/>
            </w:pPr>
            <w:r>
              <w:rPr>
                <w:rFonts w:ascii="仿宋_GB2312" w:hAnsi="仿宋_GB2312" w:cs="仿宋_GB2312" w:eastAsia="仿宋_GB2312"/>
                <w:sz w:val="21"/>
              </w:rPr>
              <w:t>▲28.隧道专用长航程微型无人机4台：最长飞行时间：≥55 分钟，总航时不低于 220 分钟；IP防护等级：≥IP55；平台系统工作环境温度区间：≥-20°C 至 50°C,湿度≥5% 至30%；低电量自动返航；可见光影像采集设备4台：传感器尺寸：35.9×24 mm（全画幅）；有效像素：≥6100万；镜头可更换，多个焦段作业，适应隧道光线环境，与隧道加载平台数据融合。</w:t>
            </w:r>
          </w:p>
          <w:p>
            <w:pPr>
              <w:pStyle w:val="null3"/>
              <w:jc w:val="both"/>
            </w:pPr>
            <w:r>
              <w:rPr>
                <w:rFonts w:ascii="仿宋_GB2312" w:hAnsi="仿宋_GB2312" w:cs="仿宋_GB2312" w:eastAsia="仿宋_GB2312"/>
                <w:sz w:val="21"/>
              </w:rPr>
              <w:t>十一：平台数据采集及输出硬件装置</w:t>
            </w:r>
          </w:p>
          <w:p>
            <w:pPr>
              <w:pStyle w:val="null3"/>
              <w:jc w:val="both"/>
            </w:pPr>
            <w:r>
              <w:rPr>
                <w:rFonts w:ascii="仿宋_GB2312" w:hAnsi="仿宋_GB2312" w:cs="仿宋_GB2312" w:eastAsia="仿宋_GB2312"/>
                <w:sz w:val="21"/>
              </w:rPr>
              <w:t>▲29.配备台式操作终端四台及配件，参数：处理器：不低于i9-14900K vPro配置大于20核20线程，内存：≥64 GB，DDR5，4400 MT/s，非ECC，双通道；主硬盘驱动器：≥2TB，7200 RPM，3.5 英寸，SATA，硬盘≥512 GB，M.2 2280，Gen 4 PCIe NVMe，SSD，Class 40，显卡：不低于RTX5060Ti 16G，32寸高清超宽曲面显示器：分别率3440×1440带摄像头，配音棒、摄像头、无线降噪耳机等配件，同时要求提供4套办公桌椅。</w:t>
            </w:r>
          </w:p>
          <w:p>
            <w:pPr>
              <w:pStyle w:val="null3"/>
              <w:jc w:val="both"/>
            </w:pPr>
            <w:r>
              <w:rPr>
                <w:rFonts w:ascii="仿宋_GB2312" w:hAnsi="仿宋_GB2312" w:cs="仿宋_GB2312" w:eastAsia="仿宋_GB2312"/>
                <w:sz w:val="21"/>
              </w:rPr>
              <w:t>▲30.配备便携式操作终端四台，处理器：不低于Ultra7 265H，16核、16线程，内存：≥64 GB，双通道，主硬盘驱动器：≥2TB固态硬盘，M.2 2280 GEN4，显卡：不低于NVIDIA RTX PRO 500，显示屏：14英寸FHD+ 液晶屏 300 尼特 非触控 FHD HDR RGB 摄像头,麦克风WLAN/背光，及音棒、摄像头、无线降噪耳机等配件，要求配置4套办公座椅。</w:t>
            </w:r>
          </w:p>
          <w:p>
            <w:pPr>
              <w:pStyle w:val="null3"/>
              <w:jc w:val="both"/>
            </w:pPr>
            <w:r>
              <w:rPr>
                <w:rFonts w:ascii="仿宋_GB2312" w:hAnsi="仿宋_GB2312" w:cs="仿宋_GB2312" w:eastAsia="仿宋_GB2312"/>
                <w:sz w:val="21"/>
              </w:rPr>
              <w:t>31.配备数据输出激光打印机四台，外观尺寸≤450×300×380mm；分辨率600×600dpi；打印时间≤8秒；连续复印。</w:t>
            </w:r>
          </w:p>
          <w:p>
            <w:pPr>
              <w:pStyle w:val="null3"/>
              <w:jc w:val="both"/>
            </w:pPr>
            <w:r>
              <w:rPr>
                <w:rFonts w:ascii="仿宋_GB2312" w:hAnsi="仿宋_GB2312" w:cs="仿宋_GB2312" w:eastAsia="仿宋_GB2312"/>
                <w:sz w:val="21"/>
              </w:rPr>
              <w:t>32.设备占地尺寸约：≤长×宽×高6400×6400×3500mm。</w:t>
            </w:r>
          </w:p>
          <w:p>
            <w:pPr>
              <w:pStyle w:val="null3"/>
            </w:pPr>
            <w:r>
              <w:rPr>
                <w:rFonts w:ascii="仿宋_GB2312" w:hAnsi="仿宋_GB2312" w:cs="仿宋_GB2312" w:eastAsia="仿宋_GB2312"/>
                <w:sz w:val="21"/>
              </w:rPr>
              <w:t>33.电源功率：380V±50Hz，≤150kW。</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合同签订后40日历日将货物运到指定地点</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收到货物后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项目验收通过后，乙方出具全额增值税专用发票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(1)中标人应提供合同货物验收中发现合同货物达不到样品验收标准或合同规定的性能指标，中标人必须更换合同货物，并负担由此给采购人造成的损失，直到验收合格为止。 (2)如中标人委托国内代理（或其他机构）负责安装或配合安装，应在签约时指明，但中标人仍要对合同货物及其安装质量负全部责任。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质保期为5年，保修期内免费维修。保修期满后，中标人仍提供维修服务，以成本价收取维修费用。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核心产品：隧道多功能衬砌加载平台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 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基本分（30分）：完全符合、响应招标文件要求，没有负偏离计30分，▲项每负偏离一项扣2分，未带标识参数每负偏离一项扣0.62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实施方案针对本项目有具体实施方案，①总体实施方案；②计划进度安排；③项目团队配备；④安装调试方案和验收方案。根据内容的完整性、针对性、合理性每项最高计2分，共8分，未提供不得分。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和产品性能、使用寿命及效果②产品合法来源渠道的证明文件（包括但不限于销售协议或代理协议或原厂授权等，供应商若为所投产品制造商须提供产品为合法来源的承诺函）。根据内容的完整性、针对性、合理性每项最高计2分，共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故障处理响应时间；④培训方案；⑤应急预案。根据内容的完整性、针对性、合理性每项最高计2分，共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校园文化承诺函</w:t>
            </w:r>
          </w:p>
        </w:tc>
        <w:tc>
          <w:tcPr>
            <w:tcW w:type="dxa" w:w="2492"/>
          </w:tcPr>
          <w:p>
            <w:pPr>
              <w:pStyle w:val="null3"/>
            </w:pPr>
            <w:r>
              <w:rPr>
                <w:rFonts w:ascii="仿宋_GB2312" w:hAnsi="仿宋_GB2312" w:cs="仿宋_GB2312" w:eastAsia="仿宋_GB2312"/>
              </w:rPr>
              <w:t>供应商应遵循学校校园文化育人体系，配合学校营造良好的校园育人环境，围绕环境育人、文化育人、活动育人、服务育人等各个方面，提供相应的承诺方案，最高计3分，未提供不计分。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校园文化承诺函.docx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详见附件：校园文化承诺函.docx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