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ABFDC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实施方案</w:t>
      </w:r>
      <w:bookmarkStart w:id="0" w:name="_GoBack"/>
      <w:bookmarkEnd w:id="0"/>
    </w:p>
    <w:p w14:paraId="0BC29215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640BB4C9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492E6609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根据招标文件第五章5.6.2评分标准自行编写，格式自拟。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lYjUzNDBjZmVmZTc2ZWI4ZTIyMmFkY2FlNDdmNmEifQ=="/>
  </w:docVars>
  <w:rsids>
    <w:rsidRoot w:val="631A057C"/>
    <w:rsid w:val="00066A99"/>
    <w:rsid w:val="1D530C7D"/>
    <w:rsid w:val="1DE17414"/>
    <w:rsid w:val="23DF1969"/>
    <w:rsid w:val="319331E3"/>
    <w:rsid w:val="50EF74D3"/>
    <w:rsid w:val="51200EA1"/>
    <w:rsid w:val="631A057C"/>
    <w:rsid w:val="6C523F43"/>
    <w:rsid w:val="7995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2024-10-24T07:56:00Z</dcterms:created>
  <dc:creator>Pinocchio</dc:creator>
  <cp:lastModifiedBy>叶染</cp:lastModifiedBy>
  <dcterms:modified xsi:type="dcterms:W3CDTF">2026-02-11T07:50:07Z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C9A82AD9D29A4AF6A7DB34C7E09187A2_13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