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B79C3">
      <w:pPr>
        <w:wordWrap w:val="0"/>
        <w:topLinePunct/>
        <w:spacing w:line="500" w:lineRule="exact"/>
        <w:jc w:val="center"/>
        <w:outlineLvl w:val="0"/>
        <w:rPr>
          <w:rFonts w:ascii="宋体" w:hAnsi="宋体" w:cs="宋体"/>
          <w:b/>
          <w:bCs/>
          <w:color w:val="auto"/>
          <w:highlight w:val="none"/>
          <w:u w:val="single"/>
        </w:rPr>
      </w:pPr>
      <w:r>
        <w:rPr>
          <w:rStyle w:val="5"/>
          <w:rFonts w:hint="eastAsia" w:ascii="黑体" w:hAnsi="黑体" w:eastAsia="黑体" w:cs="黑体"/>
          <w:color w:val="auto"/>
          <w:sz w:val="32"/>
          <w:szCs w:val="32"/>
          <w:highlight w:val="none"/>
        </w:rPr>
        <w:t>拟签订合同文本</w:t>
      </w:r>
    </w:p>
    <w:p w14:paraId="342AF480">
      <w:pPr>
        <w:spacing w:line="360" w:lineRule="auto"/>
        <w:ind w:firstLine="481"/>
        <w:jc w:val="left"/>
        <w:rPr>
          <w:rFonts w:ascii="黑体" w:hAnsi="??" w:eastAsia="黑体" w:cs="??"/>
          <w:b/>
          <w:color w:val="auto"/>
          <w:sz w:val="22"/>
          <w:szCs w:val="20"/>
          <w:highlight w:val="none"/>
          <w:u w:val="single"/>
        </w:rPr>
      </w:pPr>
      <w:r>
        <w:rPr>
          <w:rFonts w:hint="eastAsia" w:ascii="黑体" w:hAnsi="??" w:eastAsia="黑体" w:cs="??"/>
          <w:b/>
          <w:color w:val="auto"/>
          <w:sz w:val="22"/>
          <w:szCs w:val="20"/>
          <w:highlight w:val="none"/>
          <w:u w:val="single"/>
        </w:rPr>
        <w:t>注：本合同仅为合同的参考文本，合同签订双方可根据项目的具体要求进行修订。</w:t>
      </w:r>
    </w:p>
    <w:p w14:paraId="6EF290FD">
      <w:pPr>
        <w:pStyle w:val="6"/>
        <w:jc w:val="center"/>
        <w:outlineLvl w:val="1"/>
        <w:rPr>
          <w:rFonts w:hint="default" w:ascii="仿宋" w:hAnsi="仿宋" w:eastAsia="仿宋" w:cs="仿宋"/>
          <w:color w:val="auto"/>
          <w:sz w:val="32"/>
          <w:szCs w:val="32"/>
          <w:highlight w:val="none"/>
          <w:lang w:eastAsia="zh-CN"/>
        </w:rPr>
      </w:pPr>
    </w:p>
    <w:p w14:paraId="6AB1267B">
      <w:pPr>
        <w:kinsoku w:val="0"/>
        <w:spacing w:line="360" w:lineRule="auto"/>
        <w:jc w:val="center"/>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全功能模拟驾驶仿真平台项目采购合同</w:t>
      </w:r>
    </w:p>
    <w:p w14:paraId="291E1E2B">
      <w:pPr>
        <w:pStyle w:val="2"/>
        <w:rPr>
          <w:color w:val="auto"/>
          <w:highlight w:val="none"/>
        </w:rPr>
      </w:pPr>
    </w:p>
    <w:p w14:paraId="0378172A">
      <w:pPr>
        <w:kinsoku w:val="0"/>
        <w:ind w:firstLine="600" w:firstLineChars="250"/>
        <w:rPr>
          <w:rFonts w:ascii="仿宋" w:hAnsi="仿宋" w:eastAsia="仿宋" w:cs="仿宋"/>
          <w:color w:val="auto"/>
          <w:sz w:val="24"/>
          <w:highlight w:val="none"/>
        </w:rPr>
      </w:pPr>
    </w:p>
    <w:p w14:paraId="311D5AEF">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甲方：陕西铁路工程职业技术学院</w:t>
      </w:r>
    </w:p>
    <w:p w14:paraId="4E3650E6">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 xml:space="preserve">乙方： </w:t>
      </w:r>
    </w:p>
    <w:p w14:paraId="14CA6BBD">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根据</w:t>
      </w:r>
      <w:r>
        <w:rPr>
          <w:rFonts w:hint="eastAsia" w:ascii="仿宋" w:hAnsi="仿宋" w:eastAsia="仿宋" w:cs="仿宋"/>
          <w:color w:val="auto"/>
          <w:sz w:val="24"/>
          <w:highlight w:val="none"/>
          <w:lang w:val="zh-CN"/>
        </w:rPr>
        <w:t>《中华人民共和国</w:t>
      </w:r>
      <w:r>
        <w:rPr>
          <w:rFonts w:hint="eastAsia" w:ascii="仿宋" w:hAnsi="仿宋" w:eastAsia="仿宋" w:cs="仿宋"/>
          <w:color w:val="auto"/>
          <w:sz w:val="24"/>
          <w:highlight w:val="none"/>
        </w:rPr>
        <w:t>民法典</w:t>
      </w:r>
      <w:r>
        <w:rPr>
          <w:rFonts w:hint="eastAsia" w:ascii="仿宋" w:hAnsi="仿宋" w:eastAsia="仿宋" w:cs="仿宋"/>
          <w:color w:val="auto"/>
          <w:sz w:val="24"/>
          <w:highlight w:val="none"/>
          <w:lang w:val="zh-CN"/>
        </w:rPr>
        <w:t>》、《中华人民共和国政府采购法》</w:t>
      </w:r>
      <w:r>
        <w:rPr>
          <w:rFonts w:hint="eastAsia" w:ascii="仿宋" w:hAnsi="仿宋" w:eastAsia="仿宋" w:cs="仿宋"/>
          <w:color w:val="auto"/>
          <w:sz w:val="24"/>
          <w:highlight w:val="none"/>
        </w:rPr>
        <w:t>等法律法规，甲方通过公开招标，选定乙方为成交单位。甲、乙双方在平等基础上协商一致，达成如下合同条款:</w:t>
      </w:r>
    </w:p>
    <w:p w14:paraId="3493DF84">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一、</w:t>
      </w:r>
      <w:r>
        <w:rPr>
          <w:rFonts w:hint="eastAsia" w:ascii="仿宋" w:hAnsi="仿宋" w:eastAsia="仿宋" w:cs="仿宋"/>
          <w:b/>
          <w:color w:val="auto"/>
          <w:sz w:val="24"/>
          <w:highlight w:val="none"/>
        </w:rPr>
        <w:t>合同内容    项目编号/包号：</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20"/>
        <w:gridCol w:w="1260"/>
        <w:gridCol w:w="900"/>
        <w:gridCol w:w="900"/>
        <w:gridCol w:w="900"/>
        <w:gridCol w:w="894"/>
        <w:gridCol w:w="839"/>
      </w:tblGrid>
      <w:tr w14:paraId="26BE1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jc w:val="center"/>
        </w:trPr>
        <w:tc>
          <w:tcPr>
            <w:tcW w:w="786" w:type="dxa"/>
            <w:vAlign w:val="center"/>
          </w:tcPr>
          <w:p w14:paraId="27F2AB17">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序号</w:t>
            </w:r>
          </w:p>
        </w:tc>
        <w:tc>
          <w:tcPr>
            <w:tcW w:w="1620" w:type="dxa"/>
            <w:vAlign w:val="center"/>
          </w:tcPr>
          <w:p w14:paraId="239A468E">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产品名称</w:t>
            </w:r>
          </w:p>
        </w:tc>
        <w:tc>
          <w:tcPr>
            <w:tcW w:w="1260" w:type="dxa"/>
            <w:vAlign w:val="center"/>
          </w:tcPr>
          <w:p w14:paraId="70918E13">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型号</w:t>
            </w:r>
          </w:p>
        </w:tc>
        <w:tc>
          <w:tcPr>
            <w:tcW w:w="900" w:type="dxa"/>
            <w:vAlign w:val="center"/>
          </w:tcPr>
          <w:p w14:paraId="1B045C9A">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产地</w:t>
            </w:r>
          </w:p>
        </w:tc>
        <w:tc>
          <w:tcPr>
            <w:tcW w:w="900" w:type="dxa"/>
            <w:vAlign w:val="center"/>
          </w:tcPr>
          <w:p w14:paraId="1161306D">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数量</w:t>
            </w:r>
          </w:p>
        </w:tc>
        <w:tc>
          <w:tcPr>
            <w:tcW w:w="900" w:type="dxa"/>
            <w:vAlign w:val="center"/>
          </w:tcPr>
          <w:p w14:paraId="588B8D14">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单价</w:t>
            </w:r>
          </w:p>
        </w:tc>
        <w:tc>
          <w:tcPr>
            <w:tcW w:w="894" w:type="dxa"/>
            <w:vAlign w:val="center"/>
          </w:tcPr>
          <w:p w14:paraId="7CB01D0A">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总价</w:t>
            </w:r>
          </w:p>
        </w:tc>
        <w:tc>
          <w:tcPr>
            <w:tcW w:w="839" w:type="dxa"/>
            <w:vAlign w:val="center"/>
          </w:tcPr>
          <w:p w14:paraId="0B57149A">
            <w:pPr>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备注</w:t>
            </w:r>
          </w:p>
        </w:tc>
      </w:tr>
      <w:tr w14:paraId="6446A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14:paraId="65896BBB">
            <w:pPr>
              <w:adjustRightInd w:val="0"/>
              <w:snapToGrid w:val="0"/>
              <w:jc w:val="center"/>
              <w:rPr>
                <w:rFonts w:ascii="仿宋" w:hAnsi="仿宋" w:eastAsia="仿宋" w:cs="仿宋"/>
                <w:color w:val="auto"/>
                <w:sz w:val="24"/>
                <w:highlight w:val="none"/>
              </w:rPr>
            </w:pPr>
            <w:r>
              <w:rPr>
                <w:rFonts w:hint="eastAsia" w:ascii="仿宋" w:hAnsi="仿宋" w:eastAsia="仿宋" w:cs="仿宋"/>
                <w:color w:val="auto"/>
                <w:sz w:val="24"/>
                <w:highlight w:val="none"/>
              </w:rPr>
              <w:t>1</w:t>
            </w:r>
          </w:p>
        </w:tc>
        <w:tc>
          <w:tcPr>
            <w:tcW w:w="1620" w:type="dxa"/>
            <w:vAlign w:val="center"/>
          </w:tcPr>
          <w:p w14:paraId="63F6C79D">
            <w:pPr>
              <w:adjustRightInd w:val="0"/>
              <w:snapToGrid w:val="0"/>
              <w:jc w:val="center"/>
              <w:rPr>
                <w:rFonts w:ascii="仿宋" w:hAnsi="仿宋" w:eastAsia="仿宋" w:cs="仿宋"/>
                <w:color w:val="auto"/>
                <w:sz w:val="24"/>
                <w:highlight w:val="none"/>
              </w:rPr>
            </w:pPr>
          </w:p>
        </w:tc>
        <w:tc>
          <w:tcPr>
            <w:tcW w:w="1260" w:type="dxa"/>
            <w:vAlign w:val="center"/>
          </w:tcPr>
          <w:p w14:paraId="0D54B458">
            <w:pPr>
              <w:jc w:val="center"/>
              <w:rPr>
                <w:rFonts w:ascii="仿宋" w:hAnsi="仿宋" w:eastAsia="仿宋" w:cs="仿宋"/>
                <w:color w:val="auto"/>
                <w:sz w:val="24"/>
                <w:highlight w:val="none"/>
              </w:rPr>
            </w:pPr>
          </w:p>
        </w:tc>
        <w:tc>
          <w:tcPr>
            <w:tcW w:w="900" w:type="dxa"/>
            <w:vAlign w:val="center"/>
          </w:tcPr>
          <w:p w14:paraId="05975370">
            <w:pPr>
              <w:jc w:val="center"/>
              <w:rPr>
                <w:rFonts w:ascii="仿宋" w:hAnsi="仿宋" w:eastAsia="仿宋" w:cs="仿宋"/>
                <w:color w:val="auto"/>
                <w:sz w:val="24"/>
                <w:highlight w:val="none"/>
              </w:rPr>
            </w:pPr>
          </w:p>
        </w:tc>
        <w:tc>
          <w:tcPr>
            <w:tcW w:w="900" w:type="dxa"/>
            <w:vAlign w:val="center"/>
          </w:tcPr>
          <w:p w14:paraId="19689D65">
            <w:pPr>
              <w:adjustRightInd w:val="0"/>
              <w:snapToGrid w:val="0"/>
              <w:jc w:val="center"/>
              <w:rPr>
                <w:rFonts w:ascii="仿宋" w:hAnsi="仿宋" w:eastAsia="仿宋" w:cs="仿宋"/>
                <w:color w:val="auto"/>
                <w:sz w:val="24"/>
                <w:highlight w:val="none"/>
              </w:rPr>
            </w:pPr>
          </w:p>
        </w:tc>
        <w:tc>
          <w:tcPr>
            <w:tcW w:w="900" w:type="dxa"/>
            <w:vAlign w:val="center"/>
          </w:tcPr>
          <w:p w14:paraId="5D6AFDE3">
            <w:pPr>
              <w:autoSpaceDN w:val="0"/>
              <w:jc w:val="center"/>
              <w:textAlignment w:val="center"/>
              <w:rPr>
                <w:rFonts w:ascii="仿宋" w:hAnsi="仿宋" w:eastAsia="仿宋" w:cs="仿宋"/>
                <w:color w:val="auto"/>
                <w:sz w:val="24"/>
                <w:highlight w:val="none"/>
              </w:rPr>
            </w:pPr>
          </w:p>
        </w:tc>
        <w:tc>
          <w:tcPr>
            <w:tcW w:w="894" w:type="dxa"/>
            <w:vAlign w:val="center"/>
          </w:tcPr>
          <w:p w14:paraId="6C9AD144">
            <w:pPr>
              <w:autoSpaceDN w:val="0"/>
              <w:jc w:val="center"/>
              <w:textAlignment w:val="center"/>
              <w:rPr>
                <w:rFonts w:ascii="仿宋" w:hAnsi="仿宋" w:eastAsia="仿宋" w:cs="仿宋"/>
                <w:color w:val="auto"/>
                <w:sz w:val="24"/>
                <w:highlight w:val="none"/>
              </w:rPr>
            </w:pPr>
          </w:p>
        </w:tc>
        <w:tc>
          <w:tcPr>
            <w:tcW w:w="839" w:type="dxa"/>
            <w:vAlign w:val="center"/>
          </w:tcPr>
          <w:p w14:paraId="0A5B1BD0">
            <w:pPr>
              <w:autoSpaceDN w:val="0"/>
              <w:jc w:val="center"/>
              <w:textAlignment w:val="center"/>
              <w:rPr>
                <w:rFonts w:ascii="仿宋" w:hAnsi="仿宋" w:eastAsia="仿宋" w:cs="仿宋"/>
                <w:color w:val="auto"/>
                <w:sz w:val="24"/>
                <w:highlight w:val="none"/>
              </w:rPr>
            </w:pPr>
          </w:p>
        </w:tc>
      </w:tr>
      <w:tr w14:paraId="7091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14:paraId="04DA9AF7">
            <w:pPr>
              <w:adjustRightInd w:val="0"/>
              <w:snapToGrid w:val="0"/>
              <w:jc w:val="center"/>
              <w:rPr>
                <w:rFonts w:ascii="仿宋" w:hAnsi="仿宋" w:eastAsia="仿宋" w:cs="仿宋"/>
                <w:color w:val="auto"/>
                <w:sz w:val="24"/>
                <w:highlight w:val="none"/>
              </w:rPr>
            </w:pPr>
          </w:p>
        </w:tc>
        <w:tc>
          <w:tcPr>
            <w:tcW w:w="1620" w:type="dxa"/>
            <w:vAlign w:val="center"/>
          </w:tcPr>
          <w:p w14:paraId="5177B558">
            <w:pPr>
              <w:adjustRightInd w:val="0"/>
              <w:snapToGrid w:val="0"/>
              <w:jc w:val="center"/>
              <w:rPr>
                <w:rFonts w:ascii="仿宋" w:hAnsi="仿宋" w:eastAsia="仿宋" w:cs="仿宋"/>
                <w:color w:val="auto"/>
                <w:sz w:val="24"/>
                <w:highlight w:val="none"/>
              </w:rPr>
            </w:pPr>
          </w:p>
        </w:tc>
        <w:tc>
          <w:tcPr>
            <w:tcW w:w="1260" w:type="dxa"/>
            <w:vAlign w:val="center"/>
          </w:tcPr>
          <w:p w14:paraId="7874D2F9">
            <w:pPr>
              <w:jc w:val="center"/>
              <w:rPr>
                <w:rFonts w:ascii="仿宋" w:hAnsi="仿宋" w:eastAsia="仿宋" w:cs="仿宋"/>
                <w:color w:val="auto"/>
                <w:sz w:val="24"/>
                <w:highlight w:val="none"/>
              </w:rPr>
            </w:pPr>
          </w:p>
        </w:tc>
        <w:tc>
          <w:tcPr>
            <w:tcW w:w="900" w:type="dxa"/>
            <w:vAlign w:val="center"/>
          </w:tcPr>
          <w:p w14:paraId="34CE8AC7">
            <w:pPr>
              <w:jc w:val="center"/>
              <w:rPr>
                <w:rFonts w:ascii="仿宋" w:hAnsi="仿宋" w:eastAsia="仿宋" w:cs="仿宋"/>
                <w:color w:val="auto"/>
                <w:sz w:val="24"/>
                <w:highlight w:val="none"/>
              </w:rPr>
            </w:pPr>
          </w:p>
        </w:tc>
        <w:tc>
          <w:tcPr>
            <w:tcW w:w="900" w:type="dxa"/>
            <w:vAlign w:val="center"/>
          </w:tcPr>
          <w:p w14:paraId="72AEB28E">
            <w:pPr>
              <w:adjustRightInd w:val="0"/>
              <w:snapToGrid w:val="0"/>
              <w:jc w:val="center"/>
              <w:rPr>
                <w:rFonts w:ascii="仿宋" w:hAnsi="仿宋" w:eastAsia="仿宋" w:cs="仿宋"/>
                <w:color w:val="auto"/>
                <w:sz w:val="24"/>
                <w:highlight w:val="none"/>
              </w:rPr>
            </w:pPr>
          </w:p>
        </w:tc>
        <w:tc>
          <w:tcPr>
            <w:tcW w:w="900" w:type="dxa"/>
            <w:vAlign w:val="center"/>
          </w:tcPr>
          <w:p w14:paraId="3304EF9E">
            <w:pPr>
              <w:autoSpaceDN w:val="0"/>
              <w:jc w:val="center"/>
              <w:textAlignment w:val="center"/>
              <w:rPr>
                <w:rFonts w:ascii="仿宋" w:hAnsi="仿宋" w:eastAsia="仿宋" w:cs="仿宋"/>
                <w:color w:val="auto"/>
                <w:sz w:val="24"/>
                <w:highlight w:val="none"/>
              </w:rPr>
            </w:pPr>
          </w:p>
        </w:tc>
        <w:tc>
          <w:tcPr>
            <w:tcW w:w="894" w:type="dxa"/>
            <w:vAlign w:val="center"/>
          </w:tcPr>
          <w:p w14:paraId="5F6947F4">
            <w:pPr>
              <w:autoSpaceDN w:val="0"/>
              <w:jc w:val="center"/>
              <w:textAlignment w:val="center"/>
              <w:rPr>
                <w:rFonts w:ascii="仿宋" w:hAnsi="仿宋" w:eastAsia="仿宋" w:cs="仿宋"/>
                <w:color w:val="auto"/>
                <w:sz w:val="24"/>
                <w:highlight w:val="none"/>
              </w:rPr>
            </w:pPr>
          </w:p>
        </w:tc>
        <w:tc>
          <w:tcPr>
            <w:tcW w:w="839" w:type="dxa"/>
            <w:vAlign w:val="center"/>
          </w:tcPr>
          <w:p w14:paraId="64FA4763">
            <w:pPr>
              <w:autoSpaceDN w:val="0"/>
              <w:jc w:val="center"/>
              <w:textAlignment w:val="center"/>
              <w:rPr>
                <w:rFonts w:ascii="仿宋" w:hAnsi="仿宋" w:eastAsia="仿宋" w:cs="仿宋"/>
                <w:color w:val="auto"/>
                <w:sz w:val="24"/>
                <w:highlight w:val="none"/>
              </w:rPr>
            </w:pPr>
          </w:p>
        </w:tc>
      </w:tr>
      <w:tr w14:paraId="0EFF1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786" w:type="dxa"/>
            <w:vAlign w:val="center"/>
          </w:tcPr>
          <w:p w14:paraId="19463552">
            <w:pPr>
              <w:adjustRightInd w:val="0"/>
              <w:snapToGrid w:val="0"/>
              <w:jc w:val="center"/>
              <w:rPr>
                <w:rFonts w:ascii="仿宋" w:hAnsi="仿宋" w:eastAsia="仿宋" w:cs="仿宋"/>
                <w:color w:val="auto"/>
                <w:sz w:val="24"/>
                <w:highlight w:val="none"/>
              </w:rPr>
            </w:pPr>
          </w:p>
        </w:tc>
        <w:tc>
          <w:tcPr>
            <w:tcW w:w="1620" w:type="dxa"/>
            <w:vAlign w:val="center"/>
          </w:tcPr>
          <w:p w14:paraId="35783F77">
            <w:pPr>
              <w:adjustRightInd w:val="0"/>
              <w:snapToGrid w:val="0"/>
              <w:jc w:val="center"/>
              <w:rPr>
                <w:rFonts w:ascii="仿宋" w:hAnsi="仿宋" w:eastAsia="仿宋" w:cs="仿宋"/>
                <w:color w:val="auto"/>
                <w:sz w:val="24"/>
                <w:highlight w:val="none"/>
              </w:rPr>
            </w:pPr>
          </w:p>
        </w:tc>
        <w:tc>
          <w:tcPr>
            <w:tcW w:w="1260" w:type="dxa"/>
            <w:vAlign w:val="center"/>
          </w:tcPr>
          <w:p w14:paraId="6127864E">
            <w:pPr>
              <w:jc w:val="center"/>
              <w:rPr>
                <w:rFonts w:ascii="仿宋" w:hAnsi="仿宋" w:eastAsia="仿宋" w:cs="仿宋"/>
                <w:color w:val="auto"/>
                <w:sz w:val="24"/>
                <w:highlight w:val="none"/>
              </w:rPr>
            </w:pPr>
          </w:p>
        </w:tc>
        <w:tc>
          <w:tcPr>
            <w:tcW w:w="900" w:type="dxa"/>
            <w:vAlign w:val="center"/>
          </w:tcPr>
          <w:p w14:paraId="44584284">
            <w:pPr>
              <w:jc w:val="center"/>
              <w:rPr>
                <w:rFonts w:ascii="仿宋" w:hAnsi="仿宋" w:eastAsia="仿宋" w:cs="仿宋"/>
                <w:color w:val="auto"/>
                <w:sz w:val="24"/>
                <w:highlight w:val="none"/>
              </w:rPr>
            </w:pPr>
          </w:p>
        </w:tc>
        <w:tc>
          <w:tcPr>
            <w:tcW w:w="900" w:type="dxa"/>
            <w:vAlign w:val="center"/>
          </w:tcPr>
          <w:p w14:paraId="08FC962D">
            <w:pPr>
              <w:adjustRightInd w:val="0"/>
              <w:snapToGrid w:val="0"/>
              <w:jc w:val="center"/>
              <w:rPr>
                <w:rFonts w:ascii="仿宋" w:hAnsi="仿宋" w:eastAsia="仿宋" w:cs="仿宋"/>
                <w:color w:val="auto"/>
                <w:sz w:val="24"/>
                <w:highlight w:val="none"/>
              </w:rPr>
            </w:pPr>
          </w:p>
        </w:tc>
        <w:tc>
          <w:tcPr>
            <w:tcW w:w="900" w:type="dxa"/>
            <w:vAlign w:val="center"/>
          </w:tcPr>
          <w:p w14:paraId="5D19F61E">
            <w:pPr>
              <w:autoSpaceDN w:val="0"/>
              <w:jc w:val="center"/>
              <w:textAlignment w:val="center"/>
              <w:rPr>
                <w:rFonts w:ascii="仿宋" w:hAnsi="仿宋" w:eastAsia="仿宋" w:cs="仿宋"/>
                <w:color w:val="auto"/>
                <w:sz w:val="24"/>
                <w:highlight w:val="none"/>
              </w:rPr>
            </w:pPr>
          </w:p>
        </w:tc>
        <w:tc>
          <w:tcPr>
            <w:tcW w:w="894" w:type="dxa"/>
            <w:vAlign w:val="center"/>
          </w:tcPr>
          <w:p w14:paraId="4803B876">
            <w:pPr>
              <w:autoSpaceDN w:val="0"/>
              <w:jc w:val="center"/>
              <w:textAlignment w:val="center"/>
              <w:rPr>
                <w:rFonts w:ascii="仿宋" w:hAnsi="仿宋" w:eastAsia="仿宋" w:cs="仿宋"/>
                <w:color w:val="auto"/>
                <w:sz w:val="24"/>
                <w:highlight w:val="none"/>
              </w:rPr>
            </w:pPr>
          </w:p>
        </w:tc>
        <w:tc>
          <w:tcPr>
            <w:tcW w:w="839" w:type="dxa"/>
            <w:vAlign w:val="center"/>
          </w:tcPr>
          <w:p w14:paraId="51C85F5B">
            <w:pPr>
              <w:autoSpaceDN w:val="0"/>
              <w:jc w:val="center"/>
              <w:textAlignment w:val="center"/>
              <w:rPr>
                <w:rFonts w:ascii="仿宋" w:hAnsi="仿宋" w:eastAsia="仿宋" w:cs="仿宋"/>
                <w:color w:val="auto"/>
                <w:sz w:val="24"/>
                <w:highlight w:val="none"/>
              </w:rPr>
            </w:pPr>
          </w:p>
        </w:tc>
      </w:tr>
      <w:tr w14:paraId="75A4F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jc w:val="center"/>
        </w:trPr>
        <w:tc>
          <w:tcPr>
            <w:tcW w:w="2406" w:type="dxa"/>
            <w:gridSpan w:val="2"/>
            <w:vAlign w:val="center"/>
          </w:tcPr>
          <w:p w14:paraId="6AA5A9F4">
            <w:pPr>
              <w:adjustRightInd w:val="0"/>
              <w:snapToGrid w:val="0"/>
              <w:jc w:val="center"/>
              <w:rPr>
                <w:rFonts w:ascii="仿宋" w:hAnsi="仿宋" w:eastAsia="仿宋" w:cs="仿宋"/>
                <w:b/>
                <w:color w:val="auto"/>
                <w:sz w:val="24"/>
                <w:highlight w:val="none"/>
              </w:rPr>
            </w:pPr>
            <w:r>
              <w:rPr>
                <w:rFonts w:hint="eastAsia" w:ascii="仿宋" w:hAnsi="仿宋" w:eastAsia="仿宋" w:cs="仿宋"/>
                <w:b/>
                <w:color w:val="auto"/>
                <w:sz w:val="24"/>
                <w:highlight w:val="none"/>
              </w:rPr>
              <w:t>总计（人民币/元）</w:t>
            </w:r>
          </w:p>
        </w:tc>
        <w:tc>
          <w:tcPr>
            <w:tcW w:w="5693" w:type="dxa"/>
            <w:gridSpan w:val="6"/>
            <w:vAlign w:val="center"/>
          </w:tcPr>
          <w:p w14:paraId="7075E37C">
            <w:pPr>
              <w:adjustRightInd w:val="0"/>
              <w:snapToGrid w:val="0"/>
              <w:rPr>
                <w:rFonts w:ascii="仿宋" w:hAnsi="仿宋" w:eastAsia="仿宋" w:cs="仿宋"/>
                <w:b/>
                <w:color w:val="auto"/>
                <w:sz w:val="24"/>
                <w:highlight w:val="none"/>
              </w:rPr>
            </w:pPr>
            <w:r>
              <w:rPr>
                <w:rFonts w:hint="eastAsia" w:ascii="仿宋" w:hAnsi="仿宋" w:eastAsia="仿宋" w:cs="仿宋"/>
                <w:b/>
                <w:color w:val="auto"/>
                <w:sz w:val="24"/>
                <w:highlight w:val="none"/>
              </w:rPr>
              <w:t>¥：       （大写）</w:t>
            </w:r>
          </w:p>
        </w:tc>
      </w:tr>
    </w:tbl>
    <w:p w14:paraId="53B7B454">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（参数较多可以附件说明）</w:t>
      </w:r>
    </w:p>
    <w:p w14:paraId="498DE716">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乙方负责按以上确定的产品规格、型号及配套内容进行供货，及时运到甲方指定交货地点安装调试，确保所有产品达到最佳运行状态，负责对甲方操作、维护人员进行培训，指导操作、使用和维修保养，做好售后服务工作。</w:t>
      </w:r>
    </w:p>
    <w:p w14:paraId="63E71866">
      <w:pPr>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二、合同价格</w:t>
      </w:r>
    </w:p>
    <w:p w14:paraId="339FDFFD">
      <w:pPr>
        <w:kinsoku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合同总价：人民币大写：</w:t>
      </w:r>
      <w:r>
        <w:rPr>
          <w:rFonts w:hint="eastAsia" w:ascii="仿宋" w:hAnsi="仿宋" w:eastAsia="仿宋" w:cs="仿宋"/>
          <w:b/>
          <w:color w:val="auto"/>
          <w:sz w:val="24"/>
          <w:highlight w:val="none"/>
          <w:u w:val="single"/>
        </w:rPr>
        <w:t>_           _</w:t>
      </w:r>
      <w:r>
        <w:rPr>
          <w:rFonts w:hint="eastAsia" w:ascii="仿宋" w:hAnsi="仿宋" w:eastAsia="仿宋" w:cs="仿宋"/>
          <w:b/>
          <w:color w:val="auto"/>
          <w:sz w:val="24"/>
          <w:highlight w:val="none"/>
        </w:rPr>
        <w:t>元整；¥</w:t>
      </w:r>
      <w:r>
        <w:rPr>
          <w:rFonts w:hint="eastAsia" w:ascii="仿宋" w:hAnsi="仿宋" w:eastAsia="仿宋" w:cs="仿宋"/>
          <w:color w:val="auto"/>
          <w:sz w:val="24"/>
          <w:highlight w:val="none"/>
        </w:rPr>
        <w:t xml:space="preserve"> </w:t>
      </w:r>
      <w:r>
        <w:rPr>
          <w:rFonts w:hint="eastAsia" w:ascii="仿宋" w:hAnsi="仿宋" w:eastAsia="仿宋" w:cs="仿宋"/>
          <w:b/>
          <w:color w:val="auto"/>
          <w:sz w:val="24"/>
          <w:highlight w:val="none"/>
          <w:u w:val="single"/>
        </w:rPr>
        <w:t>_   __</w:t>
      </w:r>
      <w:r>
        <w:rPr>
          <w:rFonts w:hint="eastAsia" w:ascii="仿宋" w:hAnsi="仿宋" w:eastAsia="仿宋" w:cs="仿宋"/>
          <w:color w:val="auto"/>
          <w:sz w:val="24"/>
          <w:highlight w:val="none"/>
        </w:rPr>
        <w:t>元。</w:t>
      </w:r>
    </w:p>
    <w:p w14:paraId="1760CC12">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总价包括：产品的供应费及所发生的运输费、杂费（含保险）、商检费、搬运费、安装调试费、培训费等，包括从产品供应地点到交货地点所包含的一切费用。合同总价不可变更，不受市场价变化的影响，不受实际数量变化的影响。</w:t>
      </w:r>
    </w:p>
    <w:p w14:paraId="77819C3D">
      <w:pPr>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三、款项支付</w:t>
      </w:r>
    </w:p>
    <w:p w14:paraId="4253B7DC">
      <w:pPr>
        <w:pStyle w:val="6"/>
        <w:ind w:firstLine="480" w:firstLineChars="200"/>
        <w:outlineLvl w:val="3"/>
        <w:rPr>
          <w:rFonts w:hint="default" w:ascii="仿宋" w:hAnsi="仿宋" w:eastAsia="仿宋" w:cs="仿宋"/>
          <w:color w:val="auto"/>
          <w:sz w:val="24"/>
          <w:szCs w:val="24"/>
          <w:highlight w:val="none"/>
          <w:u w:val="single"/>
          <w:lang w:eastAsia="zh-CN"/>
        </w:rPr>
      </w:pPr>
      <w:r>
        <w:rPr>
          <w:rFonts w:ascii="仿宋" w:hAnsi="仿宋" w:eastAsia="仿宋" w:cs="仿宋"/>
          <w:color w:val="auto"/>
          <w:sz w:val="24"/>
          <w:szCs w:val="24"/>
          <w:highlight w:val="none"/>
          <w:u w:val="single"/>
          <w:lang w:eastAsia="zh-CN"/>
        </w:rPr>
        <w:t xml:space="preserve">                                 </w:t>
      </w:r>
      <w:r>
        <w:rPr>
          <w:rFonts w:ascii="仿宋" w:hAnsi="仿宋" w:eastAsia="仿宋" w:cs="仿宋"/>
          <w:color w:val="auto"/>
          <w:sz w:val="24"/>
          <w:szCs w:val="24"/>
          <w:highlight w:val="none"/>
          <w:lang w:eastAsia="zh-CN"/>
        </w:rPr>
        <w:t>。</w:t>
      </w:r>
    </w:p>
    <w:p w14:paraId="20C15BC0">
      <w:pPr>
        <w:pStyle w:val="6"/>
        <w:ind w:firstLine="480" w:firstLineChars="200"/>
        <w:outlineLvl w:val="3"/>
        <w:rPr>
          <w:rFonts w:hint="default" w:ascii="仿宋" w:hAnsi="仿宋" w:eastAsia="仿宋" w:cs="仿宋"/>
          <w:color w:val="auto"/>
          <w:sz w:val="24"/>
          <w:szCs w:val="24"/>
          <w:highlight w:val="none"/>
        </w:rPr>
      </w:pPr>
    </w:p>
    <w:p w14:paraId="34E98CA6">
      <w:pPr>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四、完工条件</w:t>
      </w:r>
    </w:p>
    <w:p w14:paraId="7EC5831C">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1、项目实施地点：</w:t>
      </w:r>
    </w:p>
    <w:p w14:paraId="7A43BBF5">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2、完工日期：</w:t>
      </w:r>
    </w:p>
    <w:p w14:paraId="138EB0B3">
      <w:pPr>
        <w:kinsoku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3、交付条件：</w:t>
      </w:r>
    </w:p>
    <w:p w14:paraId="641D7EE5">
      <w:pPr>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五、运输方式：</w:t>
      </w:r>
      <w:r>
        <w:rPr>
          <w:rFonts w:hint="eastAsia" w:ascii="仿宋" w:hAnsi="仿宋" w:eastAsia="仿宋" w:cs="仿宋"/>
          <w:color w:val="auto"/>
          <w:sz w:val="24"/>
          <w:highlight w:val="none"/>
        </w:rPr>
        <w:t>根据产品特性，由乙方在保证产品质量的前提下，自行选择运输及包装方式，发生的一切费用全部由乙方承担。</w:t>
      </w:r>
    </w:p>
    <w:p w14:paraId="5A99F60D">
      <w:pPr>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六、质量保证</w:t>
      </w:r>
    </w:p>
    <w:p w14:paraId="5F8128E9">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1、产品的质量保证期为: 不少于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个月（乙方承诺质保期高于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个月，质保期为乙方实际承诺的时间）。</w:t>
      </w:r>
    </w:p>
    <w:p w14:paraId="790B6AD4">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2、乙方保证所提供的产品质量可靠，进货渠道正常，配置合理，技术性能完全满足招标文件要求；</w:t>
      </w:r>
    </w:p>
    <w:p w14:paraId="460E2E57">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若产品所用原材料或加工工艺造成的质量和内外观缺陷问题，由乙方负责解决并承担费用。（乙方保证货物是全新的、未曾使用过的、以优质工艺及材料制造，并保证所供产品的完整性，本合同产品为成套供货，合同总价中已包括满足产品完整运行的附件，备件，配套件等，产品质量应符合国标标准和本合同附件的要求,乙方应随机提供产品检验报告。）</w:t>
      </w:r>
    </w:p>
    <w:p w14:paraId="2914AC07">
      <w:pPr>
        <w:adjustRightInd w:val="0"/>
        <w:snapToGrid w:val="0"/>
        <w:ind w:firstLine="600" w:firstLineChars="250"/>
        <w:rPr>
          <w:rFonts w:ascii="仿宋" w:hAnsi="仿宋" w:eastAsia="仿宋" w:cs="仿宋"/>
          <w:color w:val="auto"/>
          <w:sz w:val="24"/>
          <w:highlight w:val="none"/>
        </w:rPr>
      </w:pPr>
      <w:r>
        <w:rPr>
          <w:rFonts w:hint="eastAsia" w:ascii="仿宋" w:hAnsi="仿宋" w:eastAsia="仿宋" w:cs="仿宋"/>
          <w:color w:val="auto"/>
          <w:sz w:val="24"/>
          <w:highlight w:val="none"/>
        </w:rPr>
        <w:t>4、产品的质保期为产品</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月质保期内若发生产品质量问题，乙方应立即免费解决；超过质保期的，按照厂家承诺进行。</w:t>
      </w:r>
    </w:p>
    <w:p w14:paraId="19185C04">
      <w:pPr>
        <w:adjustRightInd w:val="0"/>
        <w:snapToGrid w:val="0"/>
        <w:ind w:firstLine="600" w:firstLineChars="250"/>
        <w:rPr>
          <w:rFonts w:ascii="仿宋" w:hAnsi="仿宋" w:eastAsia="仿宋" w:cs="仿宋"/>
          <w:bCs/>
          <w:color w:val="auto"/>
          <w:sz w:val="24"/>
          <w:highlight w:val="none"/>
        </w:rPr>
      </w:pPr>
      <w:r>
        <w:rPr>
          <w:rFonts w:hint="eastAsia" w:ascii="仿宋" w:hAnsi="仿宋" w:eastAsia="仿宋" w:cs="仿宋"/>
          <w:color w:val="auto"/>
          <w:sz w:val="24"/>
          <w:highlight w:val="none"/>
        </w:rPr>
        <w:t>5、产品</w:t>
      </w:r>
      <w:r>
        <w:rPr>
          <w:rFonts w:hint="eastAsia" w:ascii="仿宋" w:hAnsi="仿宋" w:eastAsia="仿宋" w:cs="仿宋"/>
          <w:bCs/>
          <w:color w:val="auto"/>
          <w:sz w:val="24"/>
          <w:highlight w:val="none"/>
        </w:rPr>
        <w:t>性能未达到技术要求的，乙方限期内进行整改；整改仍达不到要求的，甲方有权解除合同，保留依法索赔的权利。</w:t>
      </w:r>
    </w:p>
    <w:p w14:paraId="568EC644">
      <w:pPr>
        <w:adjustRightInd w:val="0"/>
        <w:snapToGrid w:val="0"/>
        <w:ind w:firstLine="600" w:firstLineChars="250"/>
        <w:rPr>
          <w:rFonts w:ascii="仿宋" w:hAnsi="仿宋" w:eastAsia="仿宋" w:cs="仿宋"/>
          <w:color w:val="auto"/>
          <w:sz w:val="24"/>
          <w:highlight w:val="none"/>
        </w:rPr>
      </w:pPr>
      <w:r>
        <w:rPr>
          <w:rFonts w:hint="eastAsia" w:ascii="仿宋" w:hAnsi="仿宋" w:eastAsia="仿宋" w:cs="仿宋"/>
          <w:bCs/>
          <w:color w:val="auto"/>
          <w:sz w:val="24"/>
          <w:highlight w:val="none"/>
        </w:rPr>
        <w:t>6、</w:t>
      </w:r>
      <w:r>
        <w:rPr>
          <w:rFonts w:hint="eastAsia" w:ascii="仿宋" w:hAnsi="仿宋" w:eastAsia="仿宋" w:cs="仿宋"/>
          <w:color w:val="auto"/>
          <w:sz w:val="24"/>
          <w:highlight w:val="none"/>
        </w:rPr>
        <w:t>知识产权：即乙方应保证甲方在使用成交货物时，不承担任何涉及知识产权法律诉讼的责任。</w:t>
      </w:r>
    </w:p>
    <w:p w14:paraId="3E58FD1D">
      <w:pPr>
        <w:adjustRightInd w:val="0"/>
        <w:snapToGrid w:val="0"/>
        <w:ind w:firstLine="359" w:firstLineChars="149"/>
        <w:rPr>
          <w:rFonts w:ascii="仿宋" w:hAnsi="仿宋" w:eastAsia="仿宋" w:cs="仿宋"/>
          <w:b/>
          <w:color w:val="auto"/>
          <w:sz w:val="24"/>
          <w:highlight w:val="none"/>
        </w:rPr>
      </w:pPr>
      <w:r>
        <w:rPr>
          <w:rFonts w:hint="eastAsia" w:ascii="仿宋" w:hAnsi="仿宋" w:eastAsia="仿宋" w:cs="仿宋"/>
          <w:b/>
          <w:color w:val="auto"/>
          <w:sz w:val="24"/>
          <w:highlight w:val="none"/>
        </w:rPr>
        <w:t>七、安装、调试及技术服务</w:t>
      </w:r>
    </w:p>
    <w:p w14:paraId="76F31647">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1、技术资料包括：出厂检测报告、所有产品如操作视频、PPT、说明书等电子版教学资料、合格证等其它相关资料。</w:t>
      </w:r>
    </w:p>
    <w:p w14:paraId="66AA8C57">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整个系统的质量保证期为自终验合格后36个月，并终身提供技术支持。质保期内出现的任何质量问题，乙方承担修理调换的全部费用，在质保期内（保修起始日为货到验收合格之日起），乙方接到故障信息通知后，在1小时内作出响应，如有必要，在8小时内到达现场并进行故障处理。设备保修期过后，能终身提供技术支持，全部费用由乙方支付，若需将产品送回生产厂，由乙方支付维修产品所需的往返费用。在质保期内，因属产品质量问题，乙方维修人员如不能排除故障，或调整后仍达不到设备质量要求，该产品可退可换。在质保期结束前，乙方须对设备进行一次全面检查和维护保养，并保证设备功能符合出厂标准。</w:t>
      </w:r>
    </w:p>
    <w:p w14:paraId="37D6CAD6">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3、乙方保证产品完全按招标要求提供，若达不到要求，乙方须及时跟甲方沟通协商更换产品，并按照再次验收合格时间相应延长该产品保修期。</w:t>
      </w:r>
    </w:p>
    <w:p w14:paraId="4630366E">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zh-CN"/>
        </w:rPr>
        <w:t>自产品验收合格并交付使用后，除提供必要的售后服务外，若产品在软件方面有升级完善，</w:t>
      </w:r>
      <w:r>
        <w:rPr>
          <w:rFonts w:hint="eastAsia" w:ascii="仿宋" w:hAnsi="仿宋" w:eastAsia="仿宋" w:cs="仿宋"/>
          <w:color w:val="auto"/>
          <w:sz w:val="24"/>
          <w:highlight w:val="none"/>
        </w:rPr>
        <w:t>中标人应</w:t>
      </w:r>
      <w:r>
        <w:rPr>
          <w:rFonts w:hint="eastAsia" w:ascii="仿宋" w:hAnsi="仿宋" w:eastAsia="仿宋" w:cs="仿宋"/>
          <w:color w:val="auto"/>
          <w:sz w:val="24"/>
          <w:highlight w:val="none"/>
          <w:lang w:val="zh-CN"/>
        </w:rPr>
        <w:t>配合为</w:t>
      </w:r>
      <w:r>
        <w:rPr>
          <w:rFonts w:hint="eastAsia" w:ascii="仿宋" w:hAnsi="仿宋" w:eastAsia="仿宋" w:cs="仿宋"/>
          <w:color w:val="auto"/>
          <w:sz w:val="24"/>
          <w:highlight w:val="none"/>
        </w:rPr>
        <w:t>采购人</w:t>
      </w:r>
      <w:r>
        <w:rPr>
          <w:rFonts w:hint="eastAsia" w:ascii="仿宋" w:hAnsi="仿宋" w:eastAsia="仿宋" w:cs="仿宋"/>
          <w:color w:val="auto"/>
          <w:sz w:val="24"/>
          <w:highlight w:val="none"/>
          <w:lang w:val="zh-CN"/>
        </w:rPr>
        <w:t>提供终身升级服务。</w:t>
      </w:r>
    </w:p>
    <w:p w14:paraId="42A4E6C3">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4、技术培训</w:t>
      </w:r>
    </w:p>
    <w:p w14:paraId="4B35A7A6">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内容：组织进行现场培训。选派具有丰富技术培训和实施经验的技术人员组成培训小组，提供全面的培训，包括现场培训该设备的使用方法，注意事项及如何保养等，使维修人员能对设备进行日常维护和一般性故障的查找及故障的排除，使用人员能够熟练掌握设备的各项功能和操作。</w:t>
      </w:r>
    </w:p>
    <w:p w14:paraId="646D58DB">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2）培训准备：每台仪器培训主要操作人员2-3人。</w:t>
      </w:r>
    </w:p>
    <w:p w14:paraId="51F6A352">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3）地点：安装地点（陕西铁路工程职业技术学院）</w:t>
      </w:r>
    </w:p>
    <w:p w14:paraId="7DE471DA">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4）时间：在收到甲方通知后一周内安排。</w:t>
      </w:r>
    </w:p>
    <w:p w14:paraId="3FF0BC12">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5、服务承诺：按投标文件中的服务承诺执行。</w:t>
      </w:r>
    </w:p>
    <w:p w14:paraId="116BCC65">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6、安装调试过程中出现的安全责任问题由乙方全权负责。</w:t>
      </w:r>
    </w:p>
    <w:p w14:paraId="6F8CE79A">
      <w:pPr>
        <w:tabs>
          <w:tab w:val="left" w:pos="5355"/>
        </w:tabs>
        <w:ind w:firstLine="506" w:firstLineChars="210"/>
        <w:rPr>
          <w:rFonts w:ascii="仿宋" w:hAnsi="仿宋" w:eastAsia="仿宋" w:cs="仿宋"/>
          <w:b/>
          <w:color w:val="auto"/>
          <w:sz w:val="24"/>
          <w:highlight w:val="none"/>
        </w:rPr>
      </w:pPr>
      <w:r>
        <w:rPr>
          <w:rFonts w:hint="eastAsia" w:ascii="仿宋" w:hAnsi="仿宋" w:eastAsia="仿宋" w:cs="仿宋"/>
          <w:b/>
          <w:color w:val="auto"/>
          <w:sz w:val="24"/>
          <w:highlight w:val="none"/>
        </w:rPr>
        <w:t>八、违约责任：</w:t>
      </w:r>
    </w:p>
    <w:p w14:paraId="0B9DDF88">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1、按《中华人民共和国民法典》中合同部分的相关条款执行。</w:t>
      </w:r>
    </w:p>
    <w:p w14:paraId="42951D21">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2、未按合同要求提供产品或产品质量不能满足技术要求，甲方有权终止合同，并保留追究乙方违约责任的权利。</w:t>
      </w:r>
    </w:p>
    <w:p w14:paraId="6D8B41B8">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3、时间迟延的，违约方按照每天1‰向对方承担违约责任。产品质量问题违约的，除了按照迟延时间计算违约金外，另可以采取退货、换货等方式，由供方承担一切费用。</w:t>
      </w:r>
    </w:p>
    <w:p w14:paraId="12651BAB">
      <w:pPr>
        <w:adjustRightInd w:val="0"/>
        <w:snapToGrid w:val="0"/>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4、乙方不得进行债权转让。</w:t>
      </w:r>
    </w:p>
    <w:p w14:paraId="4BE33148">
      <w:pPr>
        <w:ind w:firstLine="532"/>
        <w:rPr>
          <w:rFonts w:ascii="仿宋" w:hAnsi="仿宋" w:eastAsia="仿宋" w:cs="仿宋"/>
          <w:b/>
          <w:color w:val="auto"/>
          <w:sz w:val="24"/>
          <w:highlight w:val="none"/>
        </w:rPr>
      </w:pPr>
      <w:r>
        <w:rPr>
          <w:rFonts w:hint="eastAsia" w:ascii="仿宋" w:hAnsi="仿宋" w:eastAsia="仿宋" w:cs="仿宋"/>
          <w:b/>
          <w:color w:val="auto"/>
          <w:sz w:val="24"/>
          <w:highlight w:val="none"/>
        </w:rPr>
        <w:t>九、产品验收</w:t>
      </w:r>
    </w:p>
    <w:p w14:paraId="65E67FE7">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1、产品到货后，乙方负责安装调试，达到正常运行条件后书面通知甲方验收。</w:t>
      </w:r>
    </w:p>
    <w:p w14:paraId="56C5BE92">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2、安装完成后应提供详细的安装报告，并详细记录各种指示的实测数据。</w:t>
      </w:r>
    </w:p>
    <w:p w14:paraId="7B2CD854">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3、提供完整的操作手册和安装、调试、维修手册；提供制造厂家的检验测试报告或产品出厂检测报告。</w:t>
      </w:r>
    </w:p>
    <w:p w14:paraId="027400EF">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4、甲方根据合同要求对产品进行验收、确认产品的产地、规格、型号和数量。验收依据为</w:t>
      </w:r>
      <w:bookmarkStart w:id="0" w:name="_Toc337393760"/>
      <w:r>
        <w:rPr>
          <w:rFonts w:hint="eastAsia" w:ascii="仿宋" w:hAnsi="仿宋" w:eastAsia="仿宋" w:cs="仿宋"/>
          <w:color w:val="auto"/>
          <w:sz w:val="24"/>
          <w:highlight w:val="none"/>
        </w:rPr>
        <w:t>本合同文本、招标文件和国内相应的标准、规范</w:t>
      </w:r>
      <w:bookmarkEnd w:id="0"/>
      <w:bookmarkStart w:id="1" w:name="_Toc337393761"/>
      <w:r>
        <w:rPr>
          <w:rFonts w:hint="eastAsia" w:ascii="仿宋" w:hAnsi="仿宋" w:eastAsia="仿宋" w:cs="仿宋"/>
          <w:color w:val="auto"/>
          <w:sz w:val="24"/>
          <w:highlight w:val="none"/>
        </w:rPr>
        <w:t>。</w:t>
      </w:r>
      <w:bookmarkEnd w:id="1"/>
    </w:p>
    <w:p w14:paraId="37549263">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5、验收合格后，填写产品验收单，并向甲方提交产品所包含的所有资料，以便甲方日后管理和维护。</w:t>
      </w:r>
    </w:p>
    <w:p w14:paraId="4280B755">
      <w:pPr>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6、验收由甲方负责组织或者邀请有关专家、质检机构、采购代理机构共同进行验收,验收须以合同、招标文件、澄清、及国家相应的标准、规范等为依据。</w:t>
      </w:r>
    </w:p>
    <w:p w14:paraId="5F0620C7">
      <w:pPr>
        <w:ind w:firstLine="482" w:firstLineChars="200"/>
        <w:rPr>
          <w:rFonts w:ascii="仿宋" w:hAnsi="仿宋" w:eastAsia="仿宋" w:cs="仿宋"/>
          <w:b/>
          <w:bCs/>
          <w:color w:val="auto"/>
          <w:sz w:val="24"/>
          <w:highlight w:val="none"/>
        </w:rPr>
      </w:pPr>
      <w:r>
        <w:rPr>
          <w:rFonts w:hint="eastAsia" w:ascii="仿宋" w:hAnsi="仿宋" w:eastAsia="仿宋" w:cs="仿宋"/>
          <w:b/>
          <w:bCs/>
          <w:color w:val="auto"/>
          <w:sz w:val="24"/>
          <w:highlight w:val="none"/>
        </w:rPr>
        <w:t>十、售后服务：</w:t>
      </w:r>
    </w:p>
    <w:p w14:paraId="09245786">
      <w:pPr>
        <w:ind w:firstLine="482" w:firstLineChars="200"/>
        <w:rPr>
          <w:rFonts w:ascii="仿宋" w:hAnsi="仿宋" w:eastAsia="仿宋" w:cs="仿宋"/>
          <w:b/>
          <w:color w:val="auto"/>
          <w:sz w:val="24"/>
          <w:highlight w:val="none"/>
        </w:rPr>
      </w:pPr>
      <w:r>
        <w:rPr>
          <w:rFonts w:hint="eastAsia" w:ascii="仿宋" w:hAnsi="仿宋" w:eastAsia="仿宋" w:cs="仿宋"/>
          <w:b/>
          <w:color w:val="auto"/>
          <w:sz w:val="24"/>
          <w:highlight w:val="none"/>
        </w:rPr>
        <w:t>十一、合同争议的解决：</w:t>
      </w:r>
    </w:p>
    <w:p w14:paraId="523E725D">
      <w:pPr>
        <w:tabs>
          <w:tab w:val="left" w:pos="5355"/>
        </w:tabs>
        <w:ind w:firstLine="480" w:firstLineChars="200"/>
        <w:rPr>
          <w:rFonts w:ascii="仿宋" w:hAnsi="仿宋" w:eastAsia="仿宋" w:cs="仿宋"/>
          <w:b/>
          <w:color w:val="auto"/>
          <w:sz w:val="24"/>
          <w:highlight w:val="none"/>
        </w:rPr>
      </w:pPr>
      <w:r>
        <w:rPr>
          <w:rFonts w:hint="eastAsia" w:ascii="仿宋" w:hAnsi="仿宋" w:eastAsia="仿宋" w:cs="仿宋"/>
          <w:color w:val="auto"/>
          <w:sz w:val="24"/>
          <w:highlight w:val="none"/>
        </w:rPr>
        <w:t>合同一经签订，不得随意变更、中止或终止。对确需变更、调整或者中止、终止合同的，应按规定履行相应的手续。</w:t>
      </w:r>
    </w:p>
    <w:p w14:paraId="40B64CF3">
      <w:pPr>
        <w:tabs>
          <w:tab w:val="left" w:pos="5355"/>
        </w:tabs>
        <w:ind w:firstLine="480" w:firstLineChars="200"/>
        <w:rPr>
          <w:rFonts w:ascii="仿宋" w:hAnsi="仿宋" w:eastAsia="仿宋" w:cs="仿宋"/>
          <w:color w:val="auto"/>
          <w:sz w:val="24"/>
          <w:highlight w:val="none"/>
        </w:rPr>
      </w:pPr>
      <w:r>
        <w:rPr>
          <w:rFonts w:hint="eastAsia" w:ascii="仿宋" w:hAnsi="仿宋" w:eastAsia="仿宋" w:cs="仿宋"/>
          <w:color w:val="auto"/>
          <w:sz w:val="24"/>
          <w:highlight w:val="none"/>
        </w:rPr>
        <w:t>合同执行中发生争议的，甲、乙双方应协商解决，协商达不成一致时，可向甲方所在地人民法院提请诉讼。</w:t>
      </w:r>
    </w:p>
    <w:p w14:paraId="2CB2E716">
      <w:pPr>
        <w:tabs>
          <w:tab w:val="left" w:pos="980"/>
        </w:tabs>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十二、本合同一式陆份，</w:t>
      </w:r>
      <w:r>
        <w:rPr>
          <w:rFonts w:hint="eastAsia" w:ascii="仿宋" w:hAnsi="仿宋" w:eastAsia="仿宋" w:cs="仿宋"/>
          <w:color w:val="auto"/>
          <w:sz w:val="24"/>
          <w:highlight w:val="none"/>
        </w:rPr>
        <w:t>甲方肆份，乙方贰份。签字盖章后生效，合同执行完毕自动失效。（合同的服务承诺则长期有效）。</w:t>
      </w:r>
    </w:p>
    <w:p w14:paraId="6658048A">
      <w:pPr>
        <w:ind w:firstLine="482" w:firstLineChars="200"/>
        <w:rPr>
          <w:rFonts w:ascii="仿宋" w:hAnsi="仿宋" w:eastAsia="仿宋" w:cs="仿宋"/>
          <w:color w:val="auto"/>
          <w:sz w:val="24"/>
          <w:highlight w:val="none"/>
        </w:rPr>
      </w:pPr>
      <w:r>
        <w:rPr>
          <w:rFonts w:hint="eastAsia" w:ascii="仿宋" w:hAnsi="仿宋" w:eastAsia="仿宋" w:cs="仿宋"/>
          <w:b/>
          <w:color w:val="auto"/>
          <w:sz w:val="24"/>
          <w:highlight w:val="none"/>
        </w:rPr>
        <w:t>十三、其它</w:t>
      </w:r>
      <w:r>
        <w:rPr>
          <w:rFonts w:hint="eastAsia" w:ascii="仿宋" w:hAnsi="仿宋" w:eastAsia="仿宋" w:cs="仿宋"/>
          <w:b/>
          <w:bCs/>
          <w:color w:val="auto"/>
          <w:sz w:val="24"/>
          <w:highlight w:val="none"/>
        </w:rPr>
        <w:t>（乙方信息全部为必填项）</w:t>
      </w:r>
    </w:p>
    <w:tbl>
      <w:tblPr>
        <w:tblStyle w:val="3"/>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59"/>
        <w:gridCol w:w="4360"/>
      </w:tblGrid>
      <w:tr w14:paraId="61B79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59B32242">
            <w:pPr>
              <w:jc w:val="left"/>
              <w:rPr>
                <w:rFonts w:ascii="仿宋" w:hAnsi="仿宋" w:eastAsia="仿宋" w:cs="仿宋"/>
                <w:color w:val="auto"/>
                <w:sz w:val="24"/>
                <w:highlight w:val="none"/>
              </w:rPr>
            </w:pPr>
            <w:r>
              <w:rPr>
                <w:rFonts w:hint="eastAsia" w:ascii="仿宋" w:hAnsi="仿宋" w:eastAsia="仿宋" w:cs="仿宋"/>
                <w:color w:val="auto"/>
                <w:sz w:val="24"/>
                <w:highlight w:val="none"/>
              </w:rPr>
              <w:t>甲  方</w:t>
            </w:r>
          </w:p>
        </w:tc>
        <w:tc>
          <w:tcPr>
            <w:tcW w:w="4360" w:type="dxa"/>
            <w:tcBorders>
              <w:top w:val="single" w:color="auto" w:sz="4" w:space="0"/>
              <w:left w:val="single" w:color="auto" w:sz="4" w:space="0"/>
              <w:bottom w:val="single" w:color="auto" w:sz="4" w:space="0"/>
              <w:right w:val="single" w:color="auto" w:sz="4" w:space="0"/>
            </w:tcBorders>
            <w:vAlign w:val="center"/>
          </w:tcPr>
          <w:p w14:paraId="48362F0B">
            <w:pPr>
              <w:jc w:val="left"/>
              <w:rPr>
                <w:rFonts w:ascii="仿宋" w:hAnsi="仿宋" w:eastAsia="仿宋" w:cs="仿宋"/>
                <w:color w:val="auto"/>
                <w:sz w:val="24"/>
                <w:highlight w:val="none"/>
              </w:rPr>
            </w:pPr>
            <w:r>
              <w:rPr>
                <w:rFonts w:hint="eastAsia" w:ascii="仿宋" w:hAnsi="仿宋" w:eastAsia="仿宋" w:cs="仿宋"/>
                <w:color w:val="auto"/>
                <w:sz w:val="24"/>
                <w:highlight w:val="none"/>
              </w:rPr>
              <w:t>乙  方</w:t>
            </w:r>
          </w:p>
        </w:tc>
      </w:tr>
      <w:tr w14:paraId="5DD08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5B15C713">
            <w:pPr>
              <w:jc w:val="left"/>
              <w:rPr>
                <w:rFonts w:ascii="仿宋" w:hAnsi="仿宋" w:eastAsia="仿宋" w:cs="仿宋"/>
                <w:color w:val="auto"/>
                <w:sz w:val="24"/>
                <w:highlight w:val="none"/>
              </w:rPr>
            </w:pPr>
            <w:r>
              <w:rPr>
                <w:rFonts w:hint="eastAsia" w:ascii="仿宋" w:hAnsi="仿宋" w:eastAsia="仿宋" w:cs="仿宋"/>
                <w:color w:val="auto"/>
                <w:sz w:val="24"/>
                <w:highlight w:val="none"/>
              </w:rPr>
              <w:t>（盖章）</w:t>
            </w:r>
          </w:p>
        </w:tc>
        <w:tc>
          <w:tcPr>
            <w:tcW w:w="4360" w:type="dxa"/>
            <w:tcBorders>
              <w:top w:val="single" w:color="auto" w:sz="4" w:space="0"/>
              <w:left w:val="single" w:color="auto" w:sz="4" w:space="0"/>
              <w:bottom w:val="single" w:color="auto" w:sz="4" w:space="0"/>
              <w:right w:val="single" w:color="auto" w:sz="4" w:space="0"/>
            </w:tcBorders>
            <w:vAlign w:val="center"/>
          </w:tcPr>
          <w:p w14:paraId="6D83198A">
            <w:pPr>
              <w:jc w:val="left"/>
              <w:rPr>
                <w:rFonts w:ascii="仿宋" w:hAnsi="仿宋" w:eastAsia="仿宋" w:cs="仿宋"/>
                <w:color w:val="auto"/>
                <w:sz w:val="24"/>
                <w:highlight w:val="none"/>
              </w:rPr>
            </w:pPr>
            <w:r>
              <w:rPr>
                <w:rFonts w:hint="eastAsia" w:ascii="仿宋" w:hAnsi="仿宋" w:eastAsia="仿宋" w:cs="仿宋"/>
                <w:color w:val="auto"/>
                <w:sz w:val="24"/>
                <w:highlight w:val="none"/>
              </w:rPr>
              <w:t>成交单位全称</w:t>
            </w:r>
          </w:p>
          <w:p w14:paraId="5977A3B7">
            <w:pPr>
              <w:jc w:val="left"/>
              <w:rPr>
                <w:rFonts w:ascii="仿宋" w:hAnsi="仿宋" w:eastAsia="仿宋" w:cs="仿宋"/>
                <w:color w:val="auto"/>
                <w:sz w:val="24"/>
                <w:highlight w:val="none"/>
              </w:rPr>
            </w:pPr>
            <w:r>
              <w:rPr>
                <w:rFonts w:hint="eastAsia" w:ascii="仿宋" w:hAnsi="仿宋" w:eastAsia="仿宋" w:cs="仿宋"/>
                <w:color w:val="auto"/>
                <w:sz w:val="24"/>
                <w:highlight w:val="none"/>
              </w:rPr>
              <w:t>（盖章）</w:t>
            </w:r>
          </w:p>
        </w:tc>
      </w:tr>
      <w:tr w14:paraId="169BA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232DBB69">
            <w:pPr>
              <w:jc w:val="left"/>
              <w:rPr>
                <w:rFonts w:ascii="仿宋" w:hAnsi="仿宋" w:eastAsia="仿宋" w:cs="仿宋"/>
                <w:color w:val="auto"/>
                <w:sz w:val="24"/>
                <w:highlight w:val="none"/>
              </w:rPr>
            </w:pPr>
            <w:r>
              <w:rPr>
                <w:rFonts w:hint="eastAsia" w:ascii="仿宋" w:hAnsi="仿宋" w:eastAsia="仿宋" w:cs="仿宋"/>
                <w:color w:val="auto"/>
                <w:sz w:val="24"/>
                <w:highlight w:val="none"/>
              </w:rPr>
              <w:t>地址：</w:t>
            </w:r>
          </w:p>
        </w:tc>
        <w:tc>
          <w:tcPr>
            <w:tcW w:w="4360" w:type="dxa"/>
            <w:tcBorders>
              <w:top w:val="single" w:color="auto" w:sz="4" w:space="0"/>
              <w:left w:val="single" w:color="auto" w:sz="4" w:space="0"/>
              <w:bottom w:val="single" w:color="auto" w:sz="4" w:space="0"/>
              <w:right w:val="single" w:color="auto" w:sz="4" w:space="0"/>
            </w:tcBorders>
            <w:vAlign w:val="center"/>
          </w:tcPr>
          <w:p w14:paraId="2C7B709B">
            <w:pPr>
              <w:jc w:val="left"/>
              <w:rPr>
                <w:rFonts w:ascii="仿宋" w:hAnsi="仿宋" w:eastAsia="仿宋" w:cs="仿宋"/>
                <w:color w:val="auto"/>
                <w:sz w:val="24"/>
                <w:highlight w:val="none"/>
              </w:rPr>
            </w:pPr>
            <w:r>
              <w:rPr>
                <w:rFonts w:hint="eastAsia" w:ascii="仿宋" w:hAnsi="仿宋" w:eastAsia="仿宋" w:cs="仿宋"/>
                <w:color w:val="auto"/>
                <w:sz w:val="24"/>
                <w:highlight w:val="none"/>
              </w:rPr>
              <w:t>地址：</w:t>
            </w:r>
          </w:p>
        </w:tc>
      </w:tr>
      <w:tr w14:paraId="56487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6D318078">
            <w:pPr>
              <w:jc w:val="left"/>
              <w:rPr>
                <w:rFonts w:ascii="仿宋" w:hAnsi="仿宋" w:eastAsia="仿宋" w:cs="仿宋"/>
                <w:color w:val="auto"/>
                <w:sz w:val="24"/>
                <w:highlight w:val="none"/>
              </w:rPr>
            </w:pPr>
            <w:r>
              <w:rPr>
                <w:rFonts w:hint="eastAsia" w:ascii="仿宋" w:hAnsi="仿宋" w:eastAsia="仿宋" w:cs="仿宋"/>
                <w:color w:val="auto"/>
                <w:sz w:val="24"/>
                <w:highlight w:val="none"/>
              </w:rPr>
              <w:t>邮编：</w:t>
            </w:r>
          </w:p>
        </w:tc>
        <w:tc>
          <w:tcPr>
            <w:tcW w:w="4360" w:type="dxa"/>
            <w:tcBorders>
              <w:top w:val="single" w:color="auto" w:sz="4" w:space="0"/>
              <w:left w:val="single" w:color="auto" w:sz="4" w:space="0"/>
              <w:bottom w:val="single" w:color="auto" w:sz="4" w:space="0"/>
              <w:right w:val="single" w:color="auto" w:sz="4" w:space="0"/>
            </w:tcBorders>
            <w:vAlign w:val="center"/>
          </w:tcPr>
          <w:p w14:paraId="1F1A7D5F">
            <w:pPr>
              <w:jc w:val="left"/>
              <w:rPr>
                <w:rFonts w:ascii="仿宋" w:hAnsi="仿宋" w:eastAsia="仿宋" w:cs="仿宋"/>
                <w:color w:val="auto"/>
                <w:sz w:val="24"/>
                <w:highlight w:val="none"/>
              </w:rPr>
            </w:pPr>
            <w:r>
              <w:rPr>
                <w:rFonts w:hint="eastAsia" w:ascii="仿宋" w:hAnsi="仿宋" w:eastAsia="仿宋" w:cs="仿宋"/>
                <w:color w:val="auto"/>
                <w:sz w:val="24"/>
                <w:highlight w:val="none"/>
              </w:rPr>
              <w:t>邮编：</w:t>
            </w:r>
          </w:p>
        </w:tc>
      </w:tr>
      <w:tr w14:paraId="3774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359" w:type="dxa"/>
            <w:vMerge w:val="restart"/>
            <w:tcBorders>
              <w:top w:val="single" w:color="auto" w:sz="4" w:space="0"/>
              <w:left w:val="single" w:color="auto" w:sz="4" w:space="0"/>
              <w:right w:val="single" w:color="auto" w:sz="4" w:space="0"/>
            </w:tcBorders>
            <w:vAlign w:val="center"/>
          </w:tcPr>
          <w:p w14:paraId="34000BC0">
            <w:pPr>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法定代表人：（签字）</w:t>
            </w:r>
          </w:p>
        </w:tc>
        <w:tc>
          <w:tcPr>
            <w:tcW w:w="4360" w:type="dxa"/>
            <w:tcBorders>
              <w:top w:val="single" w:color="auto" w:sz="4" w:space="0"/>
              <w:left w:val="single" w:color="auto" w:sz="4" w:space="0"/>
              <w:bottom w:val="single" w:color="auto" w:sz="4" w:space="0"/>
              <w:right w:val="single" w:color="auto" w:sz="4" w:space="0"/>
            </w:tcBorders>
            <w:vAlign w:val="center"/>
          </w:tcPr>
          <w:p w14:paraId="00CF9AD9">
            <w:pPr>
              <w:jc w:val="left"/>
              <w:rPr>
                <w:rFonts w:ascii="仿宋" w:hAnsi="仿宋" w:eastAsia="仿宋" w:cs="仿宋"/>
                <w:color w:val="auto"/>
                <w:sz w:val="24"/>
                <w:highlight w:val="none"/>
              </w:rPr>
            </w:pPr>
            <w:r>
              <w:rPr>
                <w:rFonts w:hint="eastAsia" w:ascii="仿宋" w:hAnsi="仿宋" w:eastAsia="仿宋" w:cs="仿宋"/>
                <w:color w:val="auto"/>
                <w:sz w:val="24"/>
                <w:highlight w:val="none"/>
              </w:rPr>
              <w:t>法定代表人：</w:t>
            </w:r>
          </w:p>
        </w:tc>
      </w:tr>
      <w:tr w14:paraId="4F51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59" w:type="dxa"/>
            <w:vMerge w:val="continue"/>
            <w:tcBorders>
              <w:left w:val="single" w:color="auto" w:sz="4" w:space="0"/>
              <w:bottom w:val="single" w:color="auto" w:sz="4" w:space="0"/>
              <w:right w:val="single" w:color="auto" w:sz="4" w:space="0"/>
            </w:tcBorders>
            <w:vAlign w:val="center"/>
          </w:tcPr>
          <w:p w14:paraId="7CD5DDE6">
            <w:pPr>
              <w:jc w:val="left"/>
              <w:rPr>
                <w:rFonts w:ascii="仿宋" w:hAnsi="仿宋" w:eastAsia="仿宋" w:cs="仿宋"/>
                <w:color w:val="auto"/>
                <w:sz w:val="24"/>
                <w:highlight w:val="none"/>
              </w:rPr>
            </w:pPr>
          </w:p>
        </w:tc>
        <w:tc>
          <w:tcPr>
            <w:tcW w:w="4360" w:type="dxa"/>
            <w:tcBorders>
              <w:top w:val="single" w:color="auto" w:sz="4" w:space="0"/>
              <w:left w:val="single" w:color="auto" w:sz="4" w:space="0"/>
              <w:bottom w:val="single" w:color="auto" w:sz="4" w:space="0"/>
              <w:right w:val="single" w:color="auto" w:sz="4" w:space="0"/>
            </w:tcBorders>
            <w:vAlign w:val="center"/>
          </w:tcPr>
          <w:p w14:paraId="33AEADE0">
            <w:pPr>
              <w:jc w:val="left"/>
              <w:rPr>
                <w:rFonts w:ascii="仿宋" w:hAnsi="仿宋" w:eastAsia="仿宋" w:cs="仿宋"/>
                <w:color w:val="auto"/>
                <w:sz w:val="24"/>
                <w:highlight w:val="none"/>
              </w:rPr>
            </w:pPr>
            <w:r>
              <w:rPr>
                <w:rFonts w:hint="eastAsia" w:ascii="仿宋" w:hAnsi="仿宋" w:eastAsia="仿宋" w:cs="仿宋"/>
                <w:color w:val="auto"/>
                <w:sz w:val="24"/>
                <w:highlight w:val="none"/>
              </w:rPr>
              <w:t>被授权代表：（签字）</w:t>
            </w:r>
          </w:p>
        </w:tc>
      </w:tr>
      <w:tr w14:paraId="47C60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7BC9C29D">
            <w:pPr>
              <w:jc w:val="left"/>
              <w:rPr>
                <w:rFonts w:ascii="仿宋" w:hAnsi="仿宋" w:eastAsia="仿宋" w:cs="仿宋"/>
                <w:color w:val="auto"/>
                <w:sz w:val="24"/>
                <w:highlight w:val="none"/>
              </w:rPr>
            </w:pPr>
            <w:r>
              <w:rPr>
                <w:rFonts w:hint="eastAsia" w:ascii="仿宋" w:hAnsi="仿宋" w:eastAsia="仿宋" w:cs="仿宋"/>
                <w:color w:val="auto"/>
                <w:sz w:val="24"/>
                <w:highlight w:val="none"/>
              </w:rPr>
              <w:t>电话：</w:t>
            </w:r>
          </w:p>
        </w:tc>
        <w:tc>
          <w:tcPr>
            <w:tcW w:w="4360" w:type="dxa"/>
            <w:tcBorders>
              <w:top w:val="single" w:color="auto" w:sz="4" w:space="0"/>
              <w:left w:val="single" w:color="auto" w:sz="4" w:space="0"/>
              <w:bottom w:val="single" w:color="auto" w:sz="4" w:space="0"/>
              <w:right w:val="single" w:color="auto" w:sz="4" w:space="0"/>
            </w:tcBorders>
            <w:vAlign w:val="center"/>
          </w:tcPr>
          <w:p w14:paraId="063C0630">
            <w:pPr>
              <w:jc w:val="left"/>
              <w:rPr>
                <w:rFonts w:ascii="仿宋" w:hAnsi="仿宋" w:eastAsia="仿宋" w:cs="仿宋"/>
                <w:color w:val="auto"/>
                <w:sz w:val="24"/>
                <w:highlight w:val="none"/>
              </w:rPr>
            </w:pPr>
            <w:r>
              <w:rPr>
                <w:rFonts w:hint="eastAsia" w:ascii="仿宋" w:hAnsi="仿宋" w:eastAsia="仿宋" w:cs="仿宋"/>
                <w:color w:val="auto"/>
                <w:sz w:val="24"/>
                <w:highlight w:val="none"/>
              </w:rPr>
              <w:t>电话：</w:t>
            </w:r>
          </w:p>
        </w:tc>
      </w:tr>
      <w:tr w14:paraId="12B4B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1388BB6D">
            <w:pPr>
              <w:jc w:val="left"/>
              <w:rPr>
                <w:rFonts w:ascii="仿宋" w:hAnsi="仿宋" w:eastAsia="仿宋" w:cs="仿宋"/>
                <w:color w:val="auto"/>
                <w:sz w:val="24"/>
                <w:highlight w:val="none"/>
              </w:rPr>
            </w:pPr>
            <w:r>
              <w:rPr>
                <w:rFonts w:hint="eastAsia" w:ascii="仿宋" w:hAnsi="仿宋" w:eastAsia="仿宋" w:cs="仿宋"/>
                <w:color w:val="auto"/>
                <w:sz w:val="24"/>
                <w:highlight w:val="none"/>
              </w:rPr>
              <w:t>传真：</w:t>
            </w:r>
          </w:p>
        </w:tc>
        <w:tc>
          <w:tcPr>
            <w:tcW w:w="4360" w:type="dxa"/>
            <w:tcBorders>
              <w:top w:val="single" w:color="auto" w:sz="4" w:space="0"/>
              <w:left w:val="single" w:color="auto" w:sz="4" w:space="0"/>
              <w:bottom w:val="single" w:color="auto" w:sz="4" w:space="0"/>
              <w:right w:val="single" w:color="auto" w:sz="4" w:space="0"/>
            </w:tcBorders>
            <w:vAlign w:val="center"/>
          </w:tcPr>
          <w:p w14:paraId="7F8B0110">
            <w:pPr>
              <w:jc w:val="left"/>
              <w:rPr>
                <w:rFonts w:ascii="仿宋" w:hAnsi="仿宋" w:eastAsia="仿宋" w:cs="仿宋"/>
                <w:color w:val="auto"/>
                <w:sz w:val="24"/>
                <w:highlight w:val="none"/>
              </w:rPr>
            </w:pPr>
            <w:r>
              <w:rPr>
                <w:rFonts w:hint="eastAsia" w:ascii="仿宋" w:hAnsi="仿宋" w:eastAsia="仿宋" w:cs="仿宋"/>
                <w:color w:val="auto"/>
                <w:sz w:val="24"/>
                <w:highlight w:val="none"/>
              </w:rPr>
              <w:t>传真：</w:t>
            </w:r>
          </w:p>
        </w:tc>
      </w:tr>
      <w:tr w14:paraId="766A4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3945FDD2">
            <w:pPr>
              <w:jc w:val="left"/>
              <w:rPr>
                <w:rFonts w:ascii="仿宋" w:hAnsi="仿宋" w:eastAsia="仿宋" w:cs="仿宋"/>
                <w:color w:val="auto"/>
                <w:sz w:val="24"/>
                <w:highlight w:val="none"/>
              </w:rPr>
            </w:pPr>
            <w:r>
              <w:rPr>
                <w:rFonts w:hint="eastAsia" w:ascii="仿宋" w:hAnsi="仿宋" w:eastAsia="仿宋" w:cs="仿宋"/>
                <w:color w:val="auto"/>
                <w:sz w:val="24"/>
                <w:highlight w:val="none"/>
              </w:rPr>
              <w:t>开户银行：</w:t>
            </w:r>
          </w:p>
        </w:tc>
        <w:tc>
          <w:tcPr>
            <w:tcW w:w="4360" w:type="dxa"/>
            <w:tcBorders>
              <w:top w:val="single" w:color="auto" w:sz="4" w:space="0"/>
              <w:left w:val="single" w:color="auto" w:sz="4" w:space="0"/>
              <w:bottom w:val="single" w:color="auto" w:sz="4" w:space="0"/>
              <w:right w:val="single" w:color="auto" w:sz="4" w:space="0"/>
            </w:tcBorders>
            <w:vAlign w:val="center"/>
          </w:tcPr>
          <w:p w14:paraId="4D27440B">
            <w:pPr>
              <w:jc w:val="left"/>
              <w:rPr>
                <w:rFonts w:ascii="仿宋" w:hAnsi="仿宋" w:eastAsia="仿宋" w:cs="仿宋"/>
                <w:color w:val="auto"/>
                <w:sz w:val="24"/>
                <w:highlight w:val="none"/>
              </w:rPr>
            </w:pPr>
            <w:r>
              <w:rPr>
                <w:rFonts w:hint="eastAsia" w:ascii="仿宋" w:hAnsi="仿宋" w:eastAsia="仿宋" w:cs="仿宋"/>
                <w:color w:val="auto"/>
                <w:sz w:val="24"/>
                <w:highlight w:val="none"/>
              </w:rPr>
              <w:t>开户银行：</w:t>
            </w:r>
          </w:p>
        </w:tc>
      </w:tr>
      <w:tr w14:paraId="0789F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65A38FC5">
            <w:pPr>
              <w:jc w:val="left"/>
              <w:rPr>
                <w:rFonts w:ascii="仿宋" w:hAnsi="仿宋" w:eastAsia="仿宋" w:cs="仿宋"/>
                <w:color w:val="auto"/>
                <w:sz w:val="24"/>
                <w:highlight w:val="none"/>
              </w:rPr>
            </w:pPr>
            <w:r>
              <w:rPr>
                <w:rFonts w:hint="eastAsia" w:ascii="仿宋" w:hAnsi="仿宋" w:eastAsia="仿宋" w:cs="仿宋"/>
                <w:color w:val="auto"/>
                <w:sz w:val="24"/>
                <w:highlight w:val="none"/>
              </w:rPr>
              <w:t>账号：</w:t>
            </w:r>
          </w:p>
        </w:tc>
        <w:tc>
          <w:tcPr>
            <w:tcW w:w="4360" w:type="dxa"/>
            <w:tcBorders>
              <w:top w:val="single" w:color="auto" w:sz="4" w:space="0"/>
              <w:left w:val="single" w:color="auto" w:sz="4" w:space="0"/>
              <w:bottom w:val="single" w:color="auto" w:sz="4" w:space="0"/>
              <w:right w:val="single" w:color="auto" w:sz="4" w:space="0"/>
            </w:tcBorders>
            <w:vAlign w:val="center"/>
          </w:tcPr>
          <w:p w14:paraId="4ECF7360">
            <w:pPr>
              <w:jc w:val="left"/>
              <w:rPr>
                <w:rFonts w:ascii="仿宋" w:hAnsi="仿宋" w:eastAsia="仿宋" w:cs="仿宋"/>
                <w:color w:val="auto"/>
                <w:sz w:val="24"/>
                <w:highlight w:val="none"/>
              </w:rPr>
            </w:pPr>
            <w:r>
              <w:rPr>
                <w:rFonts w:hint="eastAsia" w:ascii="仿宋" w:hAnsi="仿宋" w:eastAsia="仿宋" w:cs="仿宋"/>
                <w:color w:val="auto"/>
                <w:sz w:val="24"/>
                <w:highlight w:val="none"/>
              </w:rPr>
              <w:t>账号:</w:t>
            </w:r>
          </w:p>
        </w:tc>
      </w:tr>
      <w:tr w14:paraId="0730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5311086C">
            <w:pPr>
              <w:jc w:val="left"/>
              <w:rPr>
                <w:rFonts w:ascii="仿宋" w:hAnsi="仿宋" w:eastAsia="仿宋" w:cs="仿宋"/>
                <w:color w:val="auto"/>
                <w:sz w:val="24"/>
                <w:highlight w:val="none"/>
              </w:rPr>
            </w:pPr>
          </w:p>
        </w:tc>
        <w:tc>
          <w:tcPr>
            <w:tcW w:w="4360" w:type="dxa"/>
            <w:tcBorders>
              <w:top w:val="single" w:color="auto" w:sz="4" w:space="0"/>
              <w:left w:val="single" w:color="auto" w:sz="4" w:space="0"/>
              <w:bottom w:val="single" w:color="auto" w:sz="4" w:space="0"/>
              <w:right w:val="single" w:color="auto" w:sz="4" w:space="0"/>
            </w:tcBorders>
            <w:vAlign w:val="center"/>
          </w:tcPr>
          <w:p w14:paraId="4F7CF0D9">
            <w:pPr>
              <w:jc w:val="left"/>
              <w:rPr>
                <w:rFonts w:ascii="仿宋" w:hAnsi="仿宋" w:eastAsia="仿宋" w:cs="仿宋"/>
                <w:color w:val="auto"/>
                <w:sz w:val="24"/>
                <w:highlight w:val="none"/>
              </w:rPr>
            </w:pPr>
            <w:r>
              <w:rPr>
                <w:rFonts w:hint="eastAsia" w:ascii="仿宋" w:hAnsi="仿宋" w:eastAsia="仿宋" w:cs="仿宋"/>
                <w:color w:val="auto"/>
                <w:sz w:val="24"/>
                <w:highlight w:val="none"/>
              </w:rPr>
              <w:t>开户名称：</w:t>
            </w:r>
          </w:p>
        </w:tc>
      </w:tr>
      <w:tr w14:paraId="2A513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6E429E1E">
            <w:pPr>
              <w:jc w:val="left"/>
              <w:rPr>
                <w:rFonts w:ascii="仿宋" w:hAnsi="仿宋" w:eastAsia="仿宋" w:cs="仿宋"/>
                <w:color w:val="auto"/>
                <w:sz w:val="24"/>
                <w:highlight w:val="none"/>
              </w:rPr>
            </w:pPr>
          </w:p>
        </w:tc>
        <w:tc>
          <w:tcPr>
            <w:tcW w:w="4360" w:type="dxa"/>
            <w:tcBorders>
              <w:top w:val="single" w:color="auto" w:sz="4" w:space="0"/>
              <w:left w:val="single" w:color="auto" w:sz="4" w:space="0"/>
              <w:bottom w:val="single" w:color="auto" w:sz="4" w:space="0"/>
              <w:right w:val="single" w:color="auto" w:sz="4" w:space="0"/>
            </w:tcBorders>
            <w:vAlign w:val="center"/>
          </w:tcPr>
          <w:p w14:paraId="0CB8D85E">
            <w:pPr>
              <w:jc w:val="left"/>
              <w:rPr>
                <w:rFonts w:ascii="仿宋" w:hAnsi="仿宋" w:eastAsia="仿宋" w:cs="仿宋"/>
                <w:color w:val="auto"/>
                <w:sz w:val="24"/>
                <w:highlight w:val="none"/>
              </w:rPr>
            </w:pPr>
            <w:r>
              <w:rPr>
                <w:rFonts w:hint="eastAsia" w:ascii="仿宋" w:hAnsi="仿宋" w:eastAsia="仿宋" w:cs="仿宋"/>
                <w:color w:val="auto"/>
                <w:sz w:val="24"/>
                <w:highlight w:val="none"/>
              </w:rPr>
              <w:t>企业规模：</w:t>
            </w:r>
          </w:p>
        </w:tc>
      </w:tr>
      <w:tr w14:paraId="24321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09CB2EC0">
            <w:pPr>
              <w:jc w:val="left"/>
              <w:rPr>
                <w:rFonts w:ascii="仿宋" w:hAnsi="仿宋" w:eastAsia="仿宋" w:cs="仿宋"/>
                <w:color w:val="auto"/>
                <w:sz w:val="24"/>
                <w:highlight w:val="none"/>
              </w:rPr>
            </w:pPr>
          </w:p>
        </w:tc>
        <w:tc>
          <w:tcPr>
            <w:tcW w:w="4360" w:type="dxa"/>
            <w:tcBorders>
              <w:top w:val="single" w:color="auto" w:sz="4" w:space="0"/>
              <w:left w:val="single" w:color="auto" w:sz="4" w:space="0"/>
              <w:bottom w:val="single" w:color="auto" w:sz="4" w:space="0"/>
              <w:right w:val="single" w:color="auto" w:sz="4" w:space="0"/>
            </w:tcBorders>
            <w:vAlign w:val="center"/>
          </w:tcPr>
          <w:p w14:paraId="52CD2C87">
            <w:pPr>
              <w:jc w:val="left"/>
              <w:rPr>
                <w:rFonts w:ascii="仿宋" w:hAnsi="仿宋" w:eastAsia="仿宋" w:cs="仿宋"/>
                <w:color w:val="auto"/>
                <w:sz w:val="24"/>
                <w:highlight w:val="none"/>
              </w:rPr>
            </w:pPr>
            <w:r>
              <w:rPr>
                <w:rFonts w:hint="eastAsia" w:ascii="仿宋" w:hAnsi="仿宋" w:eastAsia="仿宋" w:cs="仿宋"/>
                <w:color w:val="auto"/>
                <w:sz w:val="24"/>
                <w:highlight w:val="none"/>
              </w:rPr>
              <w:t>纳税人识别号：</w:t>
            </w:r>
          </w:p>
        </w:tc>
      </w:tr>
      <w:tr w14:paraId="4D79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359" w:type="dxa"/>
            <w:tcBorders>
              <w:top w:val="single" w:color="auto" w:sz="4" w:space="0"/>
              <w:left w:val="single" w:color="auto" w:sz="4" w:space="0"/>
              <w:bottom w:val="single" w:color="auto" w:sz="4" w:space="0"/>
              <w:right w:val="single" w:color="auto" w:sz="4" w:space="0"/>
            </w:tcBorders>
            <w:vAlign w:val="center"/>
          </w:tcPr>
          <w:p w14:paraId="312B8F5A">
            <w:pPr>
              <w:jc w:val="lef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tc>
        <w:tc>
          <w:tcPr>
            <w:tcW w:w="4360" w:type="dxa"/>
            <w:tcBorders>
              <w:top w:val="single" w:color="auto" w:sz="4" w:space="0"/>
              <w:left w:val="single" w:color="auto" w:sz="4" w:space="0"/>
              <w:bottom w:val="single" w:color="auto" w:sz="4" w:space="0"/>
              <w:right w:val="single" w:color="auto" w:sz="4" w:space="0"/>
            </w:tcBorders>
            <w:vAlign w:val="center"/>
          </w:tcPr>
          <w:p w14:paraId="6F27306E">
            <w:pPr>
              <w:jc w:val="left"/>
              <w:rPr>
                <w:rFonts w:ascii="仿宋" w:hAnsi="仿宋" w:eastAsia="仿宋" w:cs="仿宋"/>
                <w:color w:val="auto"/>
                <w:sz w:val="24"/>
                <w:highlight w:val="none"/>
              </w:rPr>
            </w:pPr>
            <w:r>
              <w:rPr>
                <w:rFonts w:hint="eastAsia" w:ascii="仿宋" w:hAnsi="仿宋" w:eastAsia="仿宋" w:cs="仿宋"/>
                <w:color w:val="auto"/>
                <w:sz w:val="24"/>
                <w:highlight w:val="none"/>
              </w:rPr>
              <w:t>日期：  年   月   日</w:t>
            </w:r>
          </w:p>
        </w:tc>
      </w:tr>
    </w:tbl>
    <w:p w14:paraId="53364ADA">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Segoe Print"/>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A60D79"/>
    <w:rsid w:val="74A60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tabs>
        <w:tab w:val="left" w:pos="720"/>
      </w:tabs>
      <w:spacing w:line="0" w:lineRule="atLeast"/>
    </w:pPr>
    <w:rPr>
      <w:sz w:val="28"/>
    </w:rPr>
  </w:style>
  <w:style w:type="character" w:customStyle="1" w:styleId="5">
    <w:name w:val="标题 1 Char"/>
    <w:qFormat/>
    <w:locked/>
    <w:uiPriority w:val="99"/>
    <w:rPr>
      <w:rFonts w:ascii="Calibri" w:hAnsi="Calibri" w:cs="Calibri"/>
      <w:b/>
      <w:bCs/>
      <w:kern w:val="44"/>
      <w:sz w:val="44"/>
      <w:szCs w:val="44"/>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2026-04-02T09:04:00Z</dcterms:created>
  <dc:creator>叶染</dc:creator>
  <cp:lastModifiedBy>叶染</cp:lastModifiedBy>
  <dcterms:modified xsi:type="dcterms:W3CDTF">2026-04-02T09:04:56Z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916C326443B5433389A169D3153EB525_11</vt:lpwstr>
  </property>
  <property fmtid="{D5CDD505-2E9C-101B-9397-08002B2CF9AE}" pid="4" name="KSOTemplateDocerSaveRecord">
    <vt:lpwstr>eyJoZGlkIjoiNmY1NDJlOWE5ZmM4ZjQ2NDQ1NTM2NmI4YmJjZjQ0OWIiLCJ1c2VySWQiOiI5Njc5NTM0ODMifQ==</vt:lpwstr>
  </property>
</Properties>
</file>