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版本号：SZT2026-SN-SC-ZC-HW-019920260403001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脑机接口智能外骨骼系统平台设备购置安装及售后服务项目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SZT2026-SN-SC-ZC-HW-0199</w:t>
      </w:r>
      <w:r>
        <w:br/>
      </w:r>
      <w:r>
        <w:br/>
      </w:r>
      <w:r>
        <w:br/>
      </w:r>
    </w:p>
    <w:p>
      <w:pPr>
        <w:pStyle w:val="null3"/>
        <w:jc w:val="center"/>
        <w:outlineLvl w:val="2"/>
      </w:pPr>
      <w:r>
        <w:rPr>
          <w:rFonts w:ascii="仿宋_GB2312" w:hAnsi="仿宋_GB2312" w:cs="仿宋_GB2312" w:eastAsia="仿宋_GB2312"/>
          <w:sz w:val="28"/>
          <w:b/>
        </w:rPr>
        <w:t>西安医学院第一附属医院</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西安医学院第一附属医院</w:t>
      </w:r>
      <w:r>
        <w:rPr>
          <w:rFonts w:ascii="仿宋_GB2312" w:hAnsi="仿宋_GB2312" w:cs="仿宋_GB2312" w:eastAsia="仿宋_GB2312"/>
        </w:rPr>
        <w:t>委托，拟对</w:t>
      </w:r>
      <w:r>
        <w:rPr>
          <w:rFonts w:ascii="仿宋_GB2312" w:hAnsi="仿宋_GB2312" w:cs="仿宋_GB2312" w:eastAsia="仿宋_GB2312"/>
        </w:rPr>
        <w:t>脑机接口智能外骨骼系统平台设备购置安装及售后服务项目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SZT2026-SN-SC-ZC-HW-0199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脑机接口智能外骨骼系统平台设备购置安装及售后服务项目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脑机接口智能外骨骼系统平台设备购置安装及售后服务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1、授权委托书：法定代表人直接参加投标的，须提供法定代表人身份证，并与营业执照上信息一致。法定代表人授权代表参加投标的，须提供法定代表人授权书；</w:t>
      </w:r>
    </w:p>
    <w:p>
      <w:pPr>
        <w:pStyle w:val="null3"/>
      </w:pPr>
      <w:r>
        <w:rPr>
          <w:rFonts w:ascii="仿宋_GB2312" w:hAnsi="仿宋_GB2312" w:cs="仿宋_GB2312" w:eastAsia="仿宋_GB2312"/>
        </w:rPr>
        <w:t>2、医疗器械经营许可证或医疗器械经营备案证：提供供应商医疗器械经营许可证或医疗器械经营备案证；</w:t>
      </w:r>
    </w:p>
    <w:p>
      <w:pPr>
        <w:pStyle w:val="null3"/>
      </w:pPr>
      <w:r>
        <w:rPr>
          <w:rFonts w:ascii="仿宋_GB2312" w:hAnsi="仿宋_GB2312" w:cs="仿宋_GB2312" w:eastAsia="仿宋_GB2312"/>
        </w:rPr>
        <w:t>3、生产厂家的医疗器械生产许可证或医疗器械生产备案证：投标产品属于医疗器械管理的出具生产厂家的医疗器械生产许可证或医疗器械生产备案证；</w:t>
      </w:r>
    </w:p>
    <w:p>
      <w:pPr>
        <w:pStyle w:val="null3"/>
      </w:pPr>
      <w:r>
        <w:rPr>
          <w:rFonts w:ascii="仿宋_GB2312" w:hAnsi="仿宋_GB2312" w:cs="仿宋_GB2312" w:eastAsia="仿宋_GB2312"/>
        </w:rPr>
        <w:t>4、所投产品医疗器械注册证或医疗器械备案凭证：投标产品属于医疗器械管理的提供医疗器械注册证或医疗器械备案凭证；</w:t>
      </w:r>
    </w:p>
    <w:p>
      <w:pPr>
        <w:pStyle w:val="null3"/>
      </w:pPr>
      <w:r>
        <w:rPr>
          <w:rFonts w:ascii="仿宋_GB2312" w:hAnsi="仿宋_GB2312" w:cs="仿宋_GB2312" w:eastAsia="仿宋_GB2312"/>
        </w:rPr>
        <w:t>5、本项目不接受联合体投标：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西安医学院第一附属医院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丰镐西路48号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029-84277525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肖娇娇、马帅、赵倩、李文俊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029-88364979-848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开户名称：陕西中技招标有限公司（转账备注项目编号后四位数字）</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银行账号：129916812810001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的收取参见国家计委颁布的《招标代理服务收费管理暂行办法》（计价格[2002]1980号）和（发改办价格[2003]857号）收费标准，按照中标金额差额定率累进法计算收取。此代理服务费应计入报价中，但不需要单独开列。</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西安医学院第一附属医院</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西安医学院第一附属医院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西安医学院第一附属医院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联系电话：029-88364979-856</w:t>
      </w:r>
    </w:p>
    <w:p>
      <w:pPr>
        <w:pStyle w:val="null3"/>
      </w:pPr>
      <w:r>
        <w:rPr>
          <w:rFonts w:ascii="仿宋_GB2312" w:hAnsi="仿宋_GB2312" w:cs="仿宋_GB2312" w:eastAsia="仿宋_GB2312"/>
        </w:rPr>
        <w:t>地址：西安市高新四路1号高科广场A1001室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脑机接口智能外骨骼系统平台设备购置安装及售后服务</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2,500,000.00</w:t>
      </w:r>
    </w:p>
    <w:p>
      <w:pPr>
        <w:pStyle w:val="null3"/>
      </w:pPr>
      <w:r>
        <w:rPr>
          <w:rFonts w:ascii="仿宋_GB2312" w:hAnsi="仿宋_GB2312" w:cs="仿宋_GB2312" w:eastAsia="仿宋_GB2312"/>
        </w:rPr>
        <w:t>采购包最高限价（元）: 2,500,000.00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脑机接口智能外骨骼系统平台设备购置安装及售后服务项目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标的名称：脑机接口智能外骨骼系统平台设备购置安装及售后服务项目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8"/>
                <w:b/>
              </w:rPr>
              <w:t>脑机接口智能外骨骼系统平台</w:t>
            </w:r>
          </w:p>
          <w:p>
            <w:pPr>
              <w:pStyle w:val="null3"/>
              <w:jc w:val="left"/>
            </w:pPr>
            <w:r>
              <w:rPr>
                <w:rFonts w:ascii="仿宋_GB2312" w:hAnsi="仿宋_GB2312" w:cs="仿宋_GB2312" w:eastAsia="仿宋_GB2312"/>
                <w:sz w:val="24"/>
                <w:b/>
                <w:shd w:fill="FFFFFF" w:val="clear"/>
              </w:rPr>
              <w:t>一、用途</w:t>
            </w:r>
          </w:p>
          <w:p>
            <w:pPr>
              <w:pStyle w:val="null3"/>
              <w:jc w:val="left"/>
            </w:pPr>
            <w:r>
              <w:rPr>
                <w:rFonts w:ascii="仿宋_GB2312" w:hAnsi="仿宋_GB2312" w:cs="仿宋_GB2312" w:eastAsia="仿宋_GB2312"/>
                <w:sz w:val="24"/>
              </w:rPr>
              <w:t>适用于脑卒中、脑损伤、偏瘫及各类需要脑功能和肢体功能恢复的患者进行治疗。</w:t>
            </w:r>
          </w:p>
          <w:p>
            <w:pPr>
              <w:pStyle w:val="null3"/>
              <w:jc w:val="left"/>
            </w:pPr>
            <w:r>
              <w:rPr>
                <w:rFonts w:ascii="仿宋_GB2312" w:hAnsi="仿宋_GB2312" w:cs="仿宋_GB2312" w:eastAsia="仿宋_GB2312"/>
                <w:sz w:val="24"/>
                <w:b/>
                <w:shd w:fill="FFFFFF" w:val="clear"/>
              </w:rPr>
              <w:t>二、技术要求</w:t>
            </w:r>
          </w:p>
          <w:p>
            <w:pPr>
              <w:pStyle w:val="null3"/>
              <w:ind w:left="420"/>
              <w:jc w:val="left"/>
            </w:pPr>
            <w:r>
              <w:rPr>
                <w:rFonts w:ascii="仿宋_GB2312" w:hAnsi="仿宋_GB2312" w:cs="仿宋_GB2312" w:eastAsia="仿宋_GB2312"/>
                <w:sz w:val="24"/>
              </w:rPr>
              <w:t>1.康复设备主机：</w:t>
            </w:r>
          </w:p>
          <w:p>
            <w:pPr>
              <w:pStyle w:val="null3"/>
              <w:ind w:left="855"/>
              <w:jc w:val="left"/>
            </w:pPr>
            <w:r>
              <w:rPr>
                <w:rFonts w:ascii="仿宋_GB2312" w:hAnsi="仿宋_GB2312" w:cs="仿宋_GB2312" w:eastAsia="仿宋_GB2312"/>
                <w:sz w:val="24"/>
              </w:rPr>
              <w:t>1.1.多源控制信号：EEG、EMG、自定义信号输入。</w:t>
            </w:r>
          </w:p>
          <w:p>
            <w:pPr>
              <w:pStyle w:val="null3"/>
              <w:ind w:left="855"/>
              <w:jc w:val="left"/>
            </w:pPr>
            <w:r>
              <w:rPr>
                <w:rFonts w:ascii="仿宋_GB2312" w:hAnsi="仿宋_GB2312" w:cs="仿宋_GB2312" w:eastAsia="仿宋_GB2312"/>
                <w:sz w:val="24"/>
              </w:rPr>
              <w:t>1.2.控制方式：具备主动、被动两种方式可切换。</w:t>
            </w:r>
          </w:p>
          <w:p>
            <w:pPr>
              <w:pStyle w:val="null3"/>
              <w:ind w:left="855"/>
              <w:jc w:val="left"/>
            </w:pPr>
            <w:r>
              <w:rPr>
                <w:rFonts w:ascii="仿宋_GB2312" w:hAnsi="仿宋_GB2312" w:cs="仿宋_GB2312" w:eastAsia="仿宋_GB2312"/>
                <w:sz w:val="24"/>
              </w:rPr>
              <w:t>1.3.安全保护装置：可设置多档痉挛安全保护。</w:t>
            </w:r>
          </w:p>
          <w:p>
            <w:pPr>
              <w:pStyle w:val="null3"/>
              <w:ind w:left="855"/>
              <w:jc w:val="left"/>
            </w:pPr>
            <w:r>
              <w:rPr>
                <w:rFonts w:ascii="仿宋_GB2312" w:hAnsi="仿宋_GB2312" w:cs="仿宋_GB2312" w:eastAsia="仿宋_GB2312"/>
                <w:sz w:val="24"/>
              </w:rPr>
              <w:t>▲</w:t>
            </w:r>
            <w:r>
              <w:rPr>
                <w:rFonts w:ascii="仿宋_GB2312" w:hAnsi="仿宋_GB2312" w:cs="仿宋_GB2312" w:eastAsia="仿宋_GB2312"/>
                <w:sz w:val="24"/>
              </w:rPr>
              <w:t>1.4.接触表面为生物兼容性材料（提供证明材料）。</w:t>
            </w:r>
          </w:p>
          <w:p>
            <w:pPr>
              <w:pStyle w:val="null3"/>
              <w:ind w:left="855"/>
              <w:jc w:val="left"/>
            </w:pPr>
            <w:r>
              <w:rPr>
                <w:rFonts w:ascii="仿宋_GB2312" w:hAnsi="仿宋_GB2312" w:cs="仿宋_GB2312" w:eastAsia="仿宋_GB2312"/>
                <w:sz w:val="24"/>
              </w:rPr>
              <w:t>1.5.满电待机时间≥8小时。</w:t>
            </w:r>
          </w:p>
          <w:p>
            <w:pPr>
              <w:pStyle w:val="null3"/>
              <w:ind w:left="855"/>
              <w:jc w:val="left"/>
            </w:pPr>
            <w:r>
              <w:rPr>
                <w:rFonts w:ascii="仿宋_GB2312" w:hAnsi="仿宋_GB2312" w:cs="仿宋_GB2312" w:eastAsia="仿宋_GB2312"/>
                <w:sz w:val="24"/>
              </w:rPr>
              <w:t>1.6.分指设计：五指运动分别配置可调节，单指/多指可配置。</w:t>
            </w:r>
          </w:p>
          <w:p>
            <w:pPr>
              <w:pStyle w:val="null3"/>
              <w:ind w:left="855"/>
              <w:jc w:val="left"/>
            </w:pPr>
            <w:r>
              <w:rPr>
                <w:rFonts w:ascii="仿宋_GB2312" w:hAnsi="仿宋_GB2312" w:cs="仿宋_GB2312" w:eastAsia="仿宋_GB2312"/>
                <w:sz w:val="24"/>
              </w:rPr>
              <w:t>1.7.全功能手指运动范围（握/伸）：≥0-120°。</w:t>
            </w:r>
          </w:p>
          <w:p>
            <w:pPr>
              <w:pStyle w:val="null3"/>
              <w:ind w:left="855"/>
              <w:jc w:val="left"/>
            </w:pPr>
            <w:r>
              <w:rPr>
                <w:rFonts w:ascii="仿宋_GB2312" w:hAnsi="仿宋_GB2312" w:cs="仿宋_GB2312" w:eastAsia="仿宋_GB2312"/>
                <w:sz w:val="24"/>
              </w:rPr>
              <w:t>1.8.基础功能手指运动范围（握/伸）：≥0-70°。</w:t>
            </w:r>
          </w:p>
          <w:p>
            <w:pPr>
              <w:pStyle w:val="null3"/>
              <w:ind w:left="855"/>
              <w:jc w:val="left"/>
            </w:pPr>
            <w:r>
              <w:rPr>
                <w:rFonts w:ascii="仿宋_GB2312" w:hAnsi="仿宋_GB2312" w:cs="仿宋_GB2312" w:eastAsia="仿宋_GB2312"/>
                <w:sz w:val="24"/>
              </w:rPr>
              <w:t>1.9.拇指虎口调节角度：≥0-45°。</w:t>
            </w:r>
          </w:p>
          <w:p>
            <w:pPr>
              <w:pStyle w:val="null3"/>
              <w:ind w:left="855"/>
              <w:jc w:val="left"/>
            </w:pPr>
            <w:r>
              <w:rPr>
                <w:rFonts w:ascii="仿宋_GB2312" w:hAnsi="仿宋_GB2312" w:cs="仿宋_GB2312" w:eastAsia="仿宋_GB2312"/>
                <w:sz w:val="24"/>
              </w:rPr>
              <w:t>1.10.匀速运动循环周期：≤10s。</w:t>
            </w:r>
          </w:p>
          <w:p>
            <w:pPr>
              <w:pStyle w:val="null3"/>
              <w:ind w:left="855"/>
              <w:jc w:val="left"/>
            </w:pPr>
            <w:r>
              <w:rPr>
                <w:rFonts w:ascii="仿宋_GB2312" w:hAnsi="仿宋_GB2312" w:cs="仿宋_GB2312" w:eastAsia="仿宋_GB2312"/>
                <w:sz w:val="24"/>
              </w:rPr>
              <w:t>1.11.手套可拆卸，可清洗消毒</w:t>
            </w:r>
            <w:r>
              <w:rPr>
                <w:rFonts w:ascii="仿宋_GB2312" w:hAnsi="仿宋_GB2312" w:cs="仿宋_GB2312" w:eastAsia="仿宋_GB2312"/>
                <w:sz w:val="24"/>
              </w:rPr>
              <w:t>。</w:t>
            </w:r>
          </w:p>
          <w:p>
            <w:pPr>
              <w:pStyle w:val="null3"/>
              <w:ind w:left="855"/>
              <w:jc w:val="left"/>
            </w:pPr>
            <w:r>
              <w:rPr>
                <w:rFonts w:ascii="仿宋_GB2312" w:hAnsi="仿宋_GB2312" w:cs="仿宋_GB2312" w:eastAsia="仿宋_GB2312"/>
                <w:sz w:val="24"/>
              </w:rPr>
              <w:t>▲</w:t>
            </w:r>
            <w:r>
              <w:rPr>
                <w:rFonts w:ascii="仿宋_GB2312" w:hAnsi="仿宋_GB2312" w:cs="仿宋_GB2312" w:eastAsia="仿宋_GB2312"/>
                <w:sz w:val="24"/>
              </w:rPr>
              <w:t>1.12.驱动方式：独立电机驱动。</w:t>
            </w:r>
          </w:p>
          <w:p>
            <w:pPr>
              <w:pStyle w:val="null3"/>
              <w:ind w:left="855"/>
              <w:jc w:val="left"/>
            </w:pPr>
            <w:r>
              <w:rPr>
                <w:rFonts w:ascii="仿宋_GB2312" w:hAnsi="仿宋_GB2312" w:cs="仿宋_GB2312" w:eastAsia="仿宋_GB2312"/>
                <w:sz w:val="24"/>
              </w:rPr>
              <w:t>1.13.最大运行速度：≥10mm/s。</w:t>
            </w:r>
          </w:p>
          <w:p>
            <w:pPr>
              <w:pStyle w:val="null3"/>
              <w:ind w:left="855"/>
              <w:jc w:val="left"/>
            </w:pPr>
            <w:r>
              <w:rPr>
                <w:rFonts w:ascii="仿宋_GB2312" w:hAnsi="仿宋_GB2312" w:cs="仿宋_GB2312" w:eastAsia="仿宋_GB2312"/>
                <w:sz w:val="24"/>
              </w:rPr>
              <w:t>1.14.最大驱动力：≥40N。</w:t>
            </w:r>
          </w:p>
          <w:p>
            <w:pPr>
              <w:pStyle w:val="null3"/>
              <w:ind w:left="855"/>
              <w:jc w:val="left"/>
            </w:pPr>
            <w:r>
              <w:rPr>
                <w:rFonts w:ascii="仿宋_GB2312" w:hAnsi="仿宋_GB2312" w:cs="仿宋_GB2312" w:eastAsia="仿宋_GB2312"/>
                <w:sz w:val="24"/>
              </w:rPr>
              <w:t>1.15.后驱动力：≥20N。</w:t>
            </w:r>
          </w:p>
          <w:p>
            <w:pPr>
              <w:pStyle w:val="null3"/>
              <w:ind w:left="855"/>
              <w:jc w:val="left"/>
            </w:pPr>
            <w:r>
              <w:rPr>
                <w:rFonts w:ascii="仿宋_GB2312" w:hAnsi="仿宋_GB2312" w:cs="仿宋_GB2312" w:eastAsia="仿宋_GB2312"/>
                <w:sz w:val="24"/>
              </w:rPr>
              <w:t>1.16.最大侧向载荷：≥30N。</w:t>
            </w:r>
          </w:p>
          <w:p>
            <w:pPr>
              <w:pStyle w:val="null3"/>
              <w:ind w:left="855"/>
              <w:jc w:val="left"/>
            </w:pPr>
            <w:r>
              <w:rPr>
                <w:rFonts w:ascii="仿宋_GB2312" w:hAnsi="仿宋_GB2312" w:cs="仿宋_GB2312" w:eastAsia="仿宋_GB2312"/>
                <w:sz w:val="24"/>
              </w:rPr>
              <w:t>1.17.重复精度：±0.3mm。</w:t>
            </w:r>
          </w:p>
          <w:p>
            <w:pPr>
              <w:pStyle w:val="null3"/>
              <w:ind w:left="855"/>
              <w:jc w:val="left"/>
            </w:pPr>
            <w:r>
              <w:rPr>
                <w:rFonts w:ascii="仿宋_GB2312" w:hAnsi="仿宋_GB2312" w:cs="仿宋_GB2312" w:eastAsia="仿宋_GB2312"/>
                <w:sz w:val="24"/>
              </w:rPr>
              <w:t>1.18.具备多种行程参数可选择。</w:t>
            </w:r>
          </w:p>
          <w:p>
            <w:pPr>
              <w:pStyle w:val="null3"/>
              <w:ind w:left="855"/>
              <w:jc w:val="left"/>
            </w:pPr>
            <w:r>
              <w:rPr>
                <w:rFonts w:ascii="仿宋_GB2312" w:hAnsi="仿宋_GB2312" w:cs="仿宋_GB2312" w:eastAsia="仿宋_GB2312"/>
                <w:sz w:val="24"/>
              </w:rPr>
              <w:t>1.19.具备无线传输功能。</w:t>
            </w:r>
          </w:p>
          <w:p>
            <w:pPr>
              <w:pStyle w:val="null3"/>
              <w:ind w:left="855"/>
              <w:jc w:val="left"/>
            </w:pPr>
            <w:r>
              <w:rPr>
                <w:rFonts w:ascii="仿宋_GB2312" w:hAnsi="仿宋_GB2312" w:cs="仿宋_GB2312" w:eastAsia="仿宋_GB2312"/>
                <w:sz w:val="24"/>
              </w:rPr>
              <w:t>1.20.配备≥3种尺寸手套</w:t>
            </w:r>
            <w:r>
              <w:rPr>
                <w:rFonts w:ascii="仿宋_GB2312" w:hAnsi="仿宋_GB2312" w:cs="仿宋_GB2312" w:eastAsia="仿宋_GB2312"/>
                <w:sz w:val="24"/>
              </w:rPr>
              <w:t>。</w:t>
            </w:r>
          </w:p>
          <w:p>
            <w:pPr>
              <w:pStyle w:val="null3"/>
              <w:ind w:left="420"/>
              <w:jc w:val="left"/>
            </w:pPr>
            <w:r>
              <w:rPr>
                <w:rFonts w:ascii="仿宋_GB2312" w:hAnsi="仿宋_GB2312" w:cs="仿宋_GB2312" w:eastAsia="仿宋_GB2312"/>
                <w:sz w:val="24"/>
              </w:rPr>
              <w:t>2.脑电采集分析系统：</w:t>
            </w:r>
          </w:p>
          <w:p>
            <w:pPr>
              <w:pStyle w:val="null3"/>
              <w:ind w:left="855"/>
              <w:jc w:val="left"/>
            </w:pPr>
            <w:r>
              <w:rPr>
                <w:rFonts w:ascii="仿宋_GB2312" w:hAnsi="仿宋_GB2312" w:cs="仿宋_GB2312" w:eastAsia="仿宋_GB2312"/>
                <w:sz w:val="24"/>
              </w:rPr>
              <w:t>▲</w:t>
            </w:r>
            <w:r>
              <w:rPr>
                <w:rFonts w:ascii="仿宋_GB2312" w:hAnsi="仿宋_GB2312" w:cs="仿宋_GB2312" w:eastAsia="仿宋_GB2312"/>
                <w:sz w:val="24"/>
              </w:rPr>
              <w:t>2.1.脑电采集分析系统应支持干电极、湿电极可选。</w:t>
            </w:r>
          </w:p>
          <w:p>
            <w:pPr>
              <w:pStyle w:val="null3"/>
              <w:ind w:left="855"/>
              <w:jc w:val="left"/>
            </w:pPr>
            <w:r>
              <w:rPr>
                <w:rFonts w:ascii="仿宋_GB2312" w:hAnsi="仿宋_GB2312" w:cs="仿宋_GB2312" w:eastAsia="仿宋_GB2312"/>
                <w:sz w:val="24"/>
              </w:rPr>
              <w:t>2.2.脑电采集分析系统传感器通道数≥16导，支持通道扩展。</w:t>
            </w:r>
          </w:p>
          <w:p>
            <w:pPr>
              <w:pStyle w:val="null3"/>
              <w:ind w:left="855"/>
              <w:jc w:val="left"/>
            </w:pPr>
            <w:r>
              <w:rPr>
                <w:rFonts w:ascii="仿宋_GB2312" w:hAnsi="仿宋_GB2312" w:cs="仿宋_GB2312" w:eastAsia="仿宋_GB2312"/>
                <w:sz w:val="24"/>
              </w:rPr>
              <w:t>2.3.采样频率：≥500Hz</w:t>
            </w:r>
          </w:p>
          <w:p>
            <w:pPr>
              <w:pStyle w:val="null3"/>
              <w:ind w:left="855"/>
              <w:jc w:val="left"/>
            </w:pPr>
            <w:r>
              <w:rPr>
                <w:rFonts w:ascii="仿宋_GB2312" w:hAnsi="仿宋_GB2312" w:cs="仿宋_GB2312" w:eastAsia="仿宋_GB2312"/>
                <w:sz w:val="24"/>
              </w:rPr>
              <w:t>2.4.放大器类型：直流耦合。</w:t>
            </w:r>
          </w:p>
          <w:p>
            <w:pPr>
              <w:pStyle w:val="null3"/>
              <w:ind w:left="855"/>
              <w:jc w:val="left"/>
            </w:pPr>
            <w:r>
              <w:rPr>
                <w:rFonts w:ascii="仿宋_GB2312" w:hAnsi="仿宋_GB2312" w:cs="仿宋_GB2312" w:eastAsia="仿宋_GB2312"/>
                <w:sz w:val="24"/>
              </w:rPr>
              <w:t>2.5.输入阻抗：直流≥100MΩ。</w:t>
            </w:r>
          </w:p>
          <w:p>
            <w:pPr>
              <w:pStyle w:val="null3"/>
              <w:ind w:left="855"/>
              <w:jc w:val="left"/>
            </w:pPr>
            <w:r>
              <w:rPr>
                <w:rFonts w:ascii="仿宋_GB2312" w:hAnsi="仿宋_GB2312" w:cs="仿宋_GB2312" w:eastAsia="仿宋_GB2312"/>
                <w:sz w:val="24"/>
              </w:rPr>
              <w:t>2.6.具备脑电图记录和临床评估功能，记录情绪在脑电中的映射。</w:t>
            </w:r>
          </w:p>
          <w:p>
            <w:pPr>
              <w:pStyle w:val="null3"/>
              <w:ind w:left="855"/>
              <w:jc w:val="left"/>
            </w:pPr>
            <w:r>
              <w:rPr>
                <w:rFonts w:ascii="仿宋_GB2312" w:hAnsi="仿宋_GB2312" w:cs="仿宋_GB2312" w:eastAsia="仿宋_GB2312"/>
                <w:sz w:val="24"/>
              </w:rPr>
              <w:t>2.7.穿戴脑电帽可拆卸</w:t>
            </w:r>
            <w:r>
              <w:rPr>
                <w:rFonts w:ascii="仿宋_GB2312" w:hAnsi="仿宋_GB2312" w:cs="仿宋_GB2312" w:eastAsia="仿宋_GB2312"/>
                <w:sz w:val="24"/>
              </w:rPr>
              <w:t>，</w:t>
            </w:r>
            <w:r>
              <w:rPr>
                <w:rFonts w:ascii="仿宋_GB2312" w:hAnsi="仿宋_GB2312" w:cs="仿宋_GB2312" w:eastAsia="仿宋_GB2312"/>
                <w:sz w:val="24"/>
              </w:rPr>
              <w:t>可清洗消毒，配备</w:t>
            </w:r>
            <w:r>
              <w:rPr>
                <w:rFonts w:ascii="仿宋_GB2312" w:hAnsi="仿宋_GB2312" w:cs="仿宋_GB2312" w:eastAsia="仿宋_GB2312"/>
                <w:sz w:val="24"/>
              </w:rPr>
              <w:t>≥2种尺寸穿戴脑电帽。</w:t>
            </w:r>
          </w:p>
          <w:p>
            <w:pPr>
              <w:pStyle w:val="null3"/>
              <w:ind w:left="855"/>
              <w:jc w:val="left"/>
            </w:pPr>
            <w:r>
              <w:rPr>
                <w:rFonts w:ascii="仿宋_GB2312" w:hAnsi="仿宋_GB2312" w:cs="仿宋_GB2312" w:eastAsia="仿宋_GB2312"/>
                <w:sz w:val="24"/>
              </w:rPr>
              <w:t>2.8.脑电采集分析系统应可以对信号进行滤波、陷波等预处理。</w:t>
            </w:r>
          </w:p>
          <w:p>
            <w:pPr>
              <w:pStyle w:val="null3"/>
              <w:ind w:left="855"/>
              <w:jc w:val="left"/>
            </w:pPr>
            <w:r>
              <w:rPr>
                <w:rFonts w:ascii="仿宋_GB2312" w:hAnsi="仿宋_GB2312" w:cs="仿宋_GB2312" w:eastAsia="仿宋_GB2312"/>
                <w:sz w:val="24"/>
              </w:rPr>
              <w:t>2.9.脑电采集分析系统可在线实时显示脑电信号时域波形、脑地形图、频谱图、视频信号等，显示内容可通过设置选择，可根据实验需要对脑电信号加入标签</w:t>
            </w:r>
            <w:r>
              <w:rPr>
                <w:rFonts w:ascii="仿宋_GB2312" w:hAnsi="仿宋_GB2312" w:cs="仿宋_GB2312" w:eastAsia="仿宋_GB2312"/>
                <w:sz w:val="24"/>
              </w:rPr>
              <w:t>。</w:t>
            </w:r>
          </w:p>
          <w:p>
            <w:pPr>
              <w:pStyle w:val="null3"/>
              <w:ind w:left="855"/>
              <w:jc w:val="left"/>
            </w:pPr>
            <w:r>
              <w:rPr>
                <w:rFonts w:ascii="仿宋_GB2312" w:hAnsi="仿宋_GB2312" w:cs="仿宋_GB2312" w:eastAsia="仿宋_GB2312"/>
                <w:sz w:val="24"/>
              </w:rPr>
              <w:t>2.10.具备无线数据传输，传输范围≥5m。</w:t>
            </w:r>
          </w:p>
          <w:p>
            <w:pPr>
              <w:pStyle w:val="null3"/>
              <w:ind w:left="855"/>
              <w:jc w:val="left"/>
            </w:pPr>
            <w:r>
              <w:rPr>
                <w:rFonts w:ascii="仿宋_GB2312" w:hAnsi="仿宋_GB2312" w:cs="仿宋_GB2312" w:eastAsia="仿宋_GB2312"/>
                <w:sz w:val="24"/>
              </w:rPr>
              <w:t>2.11.电源要求：内部电源，支持非接触式充电，满电待机时间≥10小时：</w:t>
            </w:r>
          </w:p>
          <w:p>
            <w:pPr>
              <w:pStyle w:val="null3"/>
              <w:ind w:left="420"/>
              <w:jc w:val="left"/>
            </w:pPr>
            <w:r>
              <w:rPr>
                <w:rFonts w:ascii="仿宋_GB2312" w:hAnsi="仿宋_GB2312" w:cs="仿宋_GB2312" w:eastAsia="仿宋_GB2312"/>
                <w:sz w:val="24"/>
              </w:rPr>
              <w:t>3.工作站：</w:t>
            </w:r>
          </w:p>
          <w:p>
            <w:pPr>
              <w:pStyle w:val="null3"/>
              <w:ind w:left="855"/>
              <w:jc w:val="left"/>
            </w:pPr>
            <w:r>
              <w:rPr>
                <w:rFonts w:ascii="仿宋_GB2312" w:hAnsi="仿宋_GB2312" w:cs="仿宋_GB2312" w:eastAsia="仿宋_GB2312"/>
                <w:sz w:val="24"/>
              </w:rPr>
              <w:t>3.1.CPU：i7-11700k 或 5800X 及以上。</w:t>
            </w:r>
          </w:p>
          <w:p>
            <w:pPr>
              <w:pStyle w:val="null3"/>
              <w:ind w:left="855"/>
              <w:jc w:val="left"/>
            </w:pPr>
            <w:r>
              <w:rPr>
                <w:rFonts w:ascii="仿宋_GB2312" w:hAnsi="仿宋_GB2312" w:cs="仿宋_GB2312" w:eastAsia="仿宋_GB2312"/>
                <w:sz w:val="24"/>
              </w:rPr>
              <w:t>3.2.内存：DDR4 3200MHz 16G 及以上。</w:t>
            </w:r>
          </w:p>
          <w:p>
            <w:pPr>
              <w:pStyle w:val="null3"/>
              <w:ind w:left="855"/>
              <w:jc w:val="left"/>
            </w:pPr>
            <w:r>
              <w:rPr>
                <w:rFonts w:ascii="仿宋_GB2312" w:hAnsi="仿宋_GB2312" w:cs="仿宋_GB2312" w:eastAsia="仿宋_GB2312"/>
                <w:sz w:val="24"/>
              </w:rPr>
              <w:t>3.3.硬盘：≥2TSSD。</w:t>
            </w:r>
          </w:p>
          <w:p>
            <w:pPr>
              <w:pStyle w:val="null3"/>
              <w:ind w:left="855"/>
              <w:jc w:val="left"/>
            </w:pPr>
            <w:r>
              <w:rPr>
                <w:rFonts w:ascii="仿宋_GB2312" w:hAnsi="仿宋_GB2312" w:cs="仿宋_GB2312" w:eastAsia="仿宋_GB2312"/>
                <w:sz w:val="24"/>
              </w:rPr>
              <w:t>3.4.高清显示器≥27英寸，分辨率≥1920×1080。</w:t>
            </w:r>
          </w:p>
          <w:p>
            <w:pPr>
              <w:pStyle w:val="null3"/>
              <w:ind w:left="855"/>
              <w:jc w:val="left"/>
            </w:pPr>
            <w:r>
              <w:rPr>
                <w:rFonts w:ascii="仿宋_GB2312" w:hAnsi="仿宋_GB2312" w:cs="仿宋_GB2312" w:eastAsia="仿宋_GB2312"/>
                <w:sz w:val="24"/>
              </w:rPr>
              <w:t>3.5.彩色激光打印机1台。</w:t>
            </w:r>
          </w:p>
          <w:p>
            <w:pPr>
              <w:pStyle w:val="null3"/>
              <w:ind w:left="420"/>
              <w:jc w:val="left"/>
            </w:pPr>
            <w:r>
              <w:rPr>
                <w:rFonts w:ascii="仿宋_GB2312" w:hAnsi="仿宋_GB2312" w:cs="仿宋_GB2312" w:eastAsia="仿宋_GB2312"/>
                <w:sz w:val="24"/>
              </w:rPr>
              <w:t>4.脑机接口康复训练系统软件：</w:t>
            </w:r>
          </w:p>
          <w:p>
            <w:pPr>
              <w:pStyle w:val="null3"/>
              <w:ind w:left="855"/>
              <w:jc w:val="left"/>
            </w:pPr>
            <w:r>
              <w:rPr>
                <w:rFonts w:ascii="仿宋_GB2312" w:hAnsi="仿宋_GB2312" w:cs="仿宋_GB2312" w:eastAsia="仿宋_GB2312"/>
                <w:sz w:val="24"/>
              </w:rPr>
              <w:t>4.1.具备实现患者信息管理、病历管理、康复计划管理等。</w:t>
            </w:r>
          </w:p>
          <w:p>
            <w:pPr>
              <w:pStyle w:val="null3"/>
              <w:ind w:left="855"/>
              <w:jc w:val="left"/>
            </w:pPr>
            <w:r>
              <w:rPr>
                <w:rFonts w:ascii="仿宋_GB2312" w:hAnsi="仿宋_GB2312" w:cs="仿宋_GB2312" w:eastAsia="仿宋_GB2312"/>
                <w:sz w:val="24"/>
              </w:rPr>
              <w:t>4.2.具备实现康复评估管理、评估记录管理、评估结果分析。</w:t>
            </w:r>
          </w:p>
          <w:p>
            <w:pPr>
              <w:pStyle w:val="null3"/>
              <w:ind w:left="855"/>
              <w:jc w:val="left"/>
            </w:pPr>
            <w:r>
              <w:rPr>
                <w:rFonts w:ascii="仿宋_GB2312" w:hAnsi="仿宋_GB2312" w:cs="仿宋_GB2312" w:eastAsia="仿宋_GB2312"/>
                <w:sz w:val="24"/>
              </w:rPr>
              <w:t>4.3.具备实现康复治疗计划管理、治疗记录管理等。</w:t>
            </w:r>
          </w:p>
          <w:p>
            <w:pPr>
              <w:pStyle w:val="null3"/>
              <w:ind w:left="855"/>
              <w:jc w:val="left"/>
            </w:pPr>
            <w:r>
              <w:rPr>
                <w:rFonts w:ascii="仿宋_GB2312" w:hAnsi="仿宋_GB2312" w:cs="仿宋_GB2312" w:eastAsia="仿宋_GB2312"/>
                <w:sz w:val="24"/>
              </w:rPr>
              <w:t>4.4.具备对参数进行配置，采集脑电数据。</w:t>
            </w:r>
          </w:p>
          <w:p>
            <w:pPr>
              <w:pStyle w:val="null3"/>
              <w:ind w:left="855"/>
              <w:jc w:val="left"/>
            </w:pPr>
            <w:r>
              <w:rPr>
                <w:rFonts w:ascii="仿宋_GB2312" w:hAnsi="仿宋_GB2312" w:cs="仿宋_GB2312" w:eastAsia="仿宋_GB2312"/>
                <w:sz w:val="24"/>
              </w:rPr>
              <w:t>4.5.具备实现外接康复设备主机控制。</w:t>
            </w:r>
          </w:p>
          <w:p>
            <w:pPr>
              <w:pStyle w:val="null3"/>
              <w:ind w:left="855"/>
              <w:jc w:val="left"/>
            </w:pPr>
            <w:r>
              <w:rPr>
                <w:rFonts w:ascii="仿宋_GB2312" w:hAnsi="仿宋_GB2312" w:cs="仿宋_GB2312" w:eastAsia="仿宋_GB2312"/>
                <w:sz w:val="24"/>
              </w:rPr>
              <w:t>4.6.具备可选择多种算法对数据进行处理。</w:t>
            </w:r>
          </w:p>
          <w:p>
            <w:pPr>
              <w:pStyle w:val="null3"/>
              <w:ind w:left="855"/>
              <w:jc w:val="left"/>
            </w:pPr>
            <w:r>
              <w:rPr>
                <w:rFonts w:ascii="仿宋_GB2312" w:hAnsi="仿宋_GB2312" w:cs="仿宋_GB2312" w:eastAsia="仿宋_GB2312"/>
                <w:sz w:val="24"/>
              </w:rPr>
              <w:t>4.7.具备保存用户训练数据，上传服务器。</w:t>
            </w:r>
          </w:p>
          <w:p>
            <w:pPr>
              <w:pStyle w:val="null3"/>
              <w:ind w:left="855"/>
              <w:jc w:val="left"/>
            </w:pPr>
            <w:r>
              <w:rPr>
                <w:rFonts w:ascii="仿宋_GB2312" w:hAnsi="仿宋_GB2312" w:cs="仿宋_GB2312" w:eastAsia="仿宋_GB2312"/>
                <w:sz w:val="24"/>
              </w:rPr>
              <w:t>4.8.具备将智能终端接入本地系统。</w:t>
            </w:r>
          </w:p>
          <w:p>
            <w:pPr>
              <w:pStyle w:val="null3"/>
              <w:ind w:left="855"/>
              <w:jc w:val="left"/>
            </w:pPr>
            <w:r>
              <w:rPr>
                <w:rFonts w:ascii="仿宋_GB2312" w:hAnsi="仿宋_GB2312" w:cs="仿宋_GB2312" w:eastAsia="仿宋_GB2312"/>
                <w:sz w:val="24"/>
              </w:rPr>
              <w:t>4.9.具备基于用户监护和训练数据，自动生成结构化报告。</w:t>
            </w:r>
          </w:p>
          <w:p>
            <w:pPr>
              <w:pStyle w:val="null3"/>
              <w:ind w:left="855"/>
              <w:jc w:val="left"/>
            </w:pPr>
            <w:r>
              <w:rPr>
                <w:rFonts w:ascii="仿宋_GB2312" w:hAnsi="仿宋_GB2312" w:cs="仿宋_GB2312" w:eastAsia="仿宋_GB2312"/>
                <w:sz w:val="24"/>
              </w:rPr>
              <w:t>4.10.具备基于大数据运算，根据患者当前情况智能推荐处方</w:t>
            </w:r>
          </w:p>
          <w:p>
            <w:pPr>
              <w:pStyle w:val="null3"/>
              <w:ind w:left="855"/>
              <w:jc w:val="left"/>
            </w:pPr>
            <w:r>
              <w:rPr>
                <w:rFonts w:ascii="仿宋_GB2312" w:hAnsi="仿宋_GB2312" w:cs="仿宋_GB2312" w:eastAsia="仿宋_GB2312"/>
                <w:sz w:val="24"/>
              </w:rPr>
              <w:t>4.11.具备对医患用户进行管理。</w:t>
            </w:r>
          </w:p>
          <w:p>
            <w:pPr>
              <w:pStyle w:val="null3"/>
              <w:jc w:val="left"/>
            </w:pPr>
            <w:r>
              <w:rPr>
                <w:rFonts w:ascii="仿宋_GB2312" w:hAnsi="仿宋_GB2312" w:cs="仿宋_GB2312" w:eastAsia="仿宋_GB2312"/>
                <w:sz w:val="24"/>
                <w:b/>
                <w:shd w:fill="FFFFFF" w:val="clear"/>
              </w:rPr>
              <w:t>三、</w:t>
            </w:r>
            <w:r>
              <w:rPr>
                <w:rFonts w:ascii="仿宋_GB2312" w:hAnsi="仿宋_GB2312" w:cs="仿宋_GB2312" w:eastAsia="仿宋_GB2312"/>
                <w:sz w:val="24"/>
              </w:rPr>
              <w:t>配置要求</w:t>
            </w:r>
          </w:p>
          <w:p>
            <w:pPr>
              <w:pStyle w:val="null3"/>
              <w:ind w:left="420"/>
              <w:jc w:val="left"/>
            </w:pPr>
            <w:r>
              <w:rPr>
                <w:rFonts w:ascii="仿宋_GB2312" w:hAnsi="仿宋_GB2312" w:cs="仿宋_GB2312" w:eastAsia="仿宋_GB2312"/>
                <w:sz w:val="24"/>
              </w:rPr>
              <w:t>1.康复设备主机1套</w:t>
            </w:r>
          </w:p>
          <w:p>
            <w:pPr>
              <w:pStyle w:val="null3"/>
              <w:ind w:left="420"/>
              <w:jc w:val="left"/>
            </w:pPr>
            <w:r>
              <w:rPr>
                <w:rFonts w:ascii="仿宋_GB2312" w:hAnsi="仿宋_GB2312" w:cs="仿宋_GB2312" w:eastAsia="仿宋_GB2312"/>
                <w:sz w:val="24"/>
              </w:rPr>
              <w:t>2.脑电采集分析系统1套</w:t>
            </w:r>
          </w:p>
          <w:p>
            <w:pPr>
              <w:pStyle w:val="null3"/>
              <w:ind w:left="420"/>
              <w:jc w:val="left"/>
            </w:pPr>
            <w:r>
              <w:rPr>
                <w:rFonts w:ascii="仿宋_GB2312" w:hAnsi="仿宋_GB2312" w:cs="仿宋_GB2312" w:eastAsia="仿宋_GB2312"/>
                <w:sz w:val="24"/>
              </w:rPr>
              <w:t>3.工作站1套</w:t>
            </w:r>
          </w:p>
          <w:p>
            <w:pPr>
              <w:pStyle w:val="null3"/>
            </w:pPr>
            <w:r>
              <w:rPr>
                <w:rFonts w:ascii="仿宋_GB2312" w:hAnsi="仿宋_GB2312" w:cs="仿宋_GB2312" w:eastAsia="仿宋_GB2312"/>
                <w:sz w:val="24"/>
              </w:rPr>
              <w:t>4.脑机接口康复训练系统软件1套</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合同签订之日起，接甲方通知后30日内完成交付、安装及调试。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西安医学院第一附属医院院内</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合同签订后，所有设备安装、调试、验收合格(以甲方出具的书面验收合格文件为准)后支付合同总价的30%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半年期满后支付合同总价的60%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壹年期满后支付合同总价的10%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原厂质保2年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因合同而发生的争议或纠纷，甲乙双方应先协商解决，协商不成时可向甲方所在地的人民法院提请诉讼。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1、为保证评审工作顺利进行，供应商需要在线提交所有通过电子化交易平台实施的政府采购项目的投标文件，同时，线下提交投标文件正本 壹 份、副本 壹 份（双面打印）。若系统电子投标文件与纸质投标文件不一致的，以系统电子投标文件为准。 2.投标保证金注意事项：（1）投标保证金缴纳截止时间：同投标文件递交截止时间一致。（2）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xiaojiaojiao@sxzjtc.com（邮件命名：项目编号）。保函必须由具有开具投标保函资格的单位开具；若供应商违约，开具保函单位承担连带责任； 3、落实政府采购政策《国务院办公厅关于在政府采购中实施本国产品标准及相关政策的通知国办发〔2025〕34号》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产品应当在中国境内生产，即在中华人民共和国关境内实现从原材料、组件到产品的属性改变。属性改变是指经过制造、加工或者组装等工序，产生完全不同于原材料、组件的新产品，并具有新的名称和特征（用途）。 供应商应对其提供的产品出具《关于符合本国产品标准的声明函》。提供虚假《声明函》、虚假证明文件谋取中标、成交的，依照《政府采购法》等法律法规规定追究相应责任。 4、定标环节采购人有权对响应文件承诺响应的内容进行复核，如有虚假响应，一经发现，取消成交资格并上报财政主管部门，列入政府采购黑名单。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资格响应表.docx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法定代表人直接参加投标的，须提供法定代表人身份证，并与营业执照上信息一致。法定代表人授权代表参加投标的，须提供法定代表人授权书；</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医疗器械经营许可证或医疗器械经营备案证</w:t>
            </w:r>
          </w:p>
        </w:tc>
        <w:tc>
          <w:tcPr>
            <w:tcW w:type="dxa" w:w="3322"/>
          </w:tcPr>
          <w:p>
            <w:pPr>
              <w:pStyle w:val="null3"/>
            </w:pPr>
            <w:r>
              <w:rPr>
                <w:rFonts w:ascii="仿宋_GB2312" w:hAnsi="仿宋_GB2312" w:cs="仿宋_GB2312" w:eastAsia="仿宋_GB2312"/>
              </w:rPr>
              <w:t>提供供应商医疗器械经营许可证或医疗器械经营备案证；</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生产厂家的医疗器械生产许可证或医疗器械生产备案证</w:t>
            </w:r>
          </w:p>
        </w:tc>
        <w:tc>
          <w:tcPr>
            <w:tcW w:type="dxa" w:w="3322"/>
          </w:tcPr>
          <w:p>
            <w:pPr>
              <w:pStyle w:val="null3"/>
            </w:pPr>
            <w:r>
              <w:rPr>
                <w:rFonts w:ascii="仿宋_GB2312" w:hAnsi="仿宋_GB2312" w:cs="仿宋_GB2312" w:eastAsia="仿宋_GB2312"/>
              </w:rPr>
              <w:t>投标产品属于医疗器械管理的出具生产厂家的医疗器械生产许可证或医疗器械生产备案证；</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所投产品医疗器械注册证或医疗器械备案凭证</w:t>
            </w:r>
          </w:p>
        </w:tc>
        <w:tc>
          <w:tcPr>
            <w:tcW w:type="dxa" w:w="3322"/>
          </w:tcPr>
          <w:p>
            <w:pPr>
              <w:pStyle w:val="null3"/>
            </w:pPr>
            <w:r>
              <w:rPr>
                <w:rFonts w:ascii="仿宋_GB2312" w:hAnsi="仿宋_GB2312" w:cs="仿宋_GB2312" w:eastAsia="仿宋_GB2312"/>
              </w:rPr>
              <w:t>投标产品属于医疗器械管理的提供医疗器械注册证或医疗器械备案凭证；</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tc>
        <w:tc>
          <w:tcPr>
            <w:tcW w:type="dxa" w:w="1661"/>
          </w:tcPr>
          <w:p>
            <w:pPr>
              <w:pStyle w:val="null3"/>
            </w:pPr>
            <w:r>
              <w:rPr>
                <w:rFonts w:ascii="仿宋_GB2312" w:hAnsi="仿宋_GB2312" w:cs="仿宋_GB2312" w:eastAsia="仿宋_GB2312"/>
              </w:rPr>
              <w:t>资格响应表.docx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3、强化政府采购异常低价审查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相关供应商在评审现场合理的时间内对投标（响应）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 报价表及分项报价表.docx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合同签订后，所有设备安装、调试、验收合格(以甲方出具的书面验收合格文件为准)后支付合同总价的30%，半年期满后支付合同总价的60%，壹年期满后支付合同总价的10%，至此货款全部结清。</w:t>
            </w:r>
          </w:p>
        </w:tc>
        <w:tc>
          <w:tcPr>
            <w:tcW w:type="dxa" w:w="1661"/>
          </w:tcPr>
          <w:p>
            <w:pPr>
              <w:pStyle w:val="null3"/>
            </w:pPr>
            <w:r>
              <w:rPr>
                <w:rFonts w:ascii="仿宋_GB2312" w:hAnsi="仿宋_GB2312" w:cs="仿宋_GB2312" w:eastAsia="仿宋_GB2312"/>
              </w:rPr>
              <w:t>商务偏离表.docx 报价表及分项报价表.docx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原厂质保2年</w:t>
            </w:r>
          </w:p>
        </w:tc>
        <w:tc>
          <w:tcPr>
            <w:tcW w:type="dxa" w:w="1661"/>
          </w:tcPr>
          <w:p>
            <w:pPr>
              <w:pStyle w:val="null3"/>
            </w:pPr>
            <w:r>
              <w:rPr>
                <w:rFonts w:ascii="仿宋_GB2312" w:hAnsi="仿宋_GB2312" w:cs="仿宋_GB2312" w:eastAsia="仿宋_GB2312"/>
              </w:rPr>
              <w:t>商务偏离表.docx 报价表及分项报价表.docx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合同签订之日起，接甲方通知后 30 日内完成交付、安装及调试。</w:t>
            </w:r>
          </w:p>
        </w:tc>
        <w:tc>
          <w:tcPr>
            <w:tcW w:type="dxa" w:w="1661"/>
          </w:tcPr>
          <w:p>
            <w:pPr>
              <w:pStyle w:val="null3"/>
            </w:pPr>
            <w:r>
              <w:rPr>
                <w:rFonts w:ascii="仿宋_GB2312" w:hAnsi="仿宋_GB2312" w:cs="仿宋_GB2312" w:eastAsia="仿宋_GB2312"/>
              </w:rPr>
              <w:t>商务偏离表.docx 报价表及分项报价表.docx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投标函 商务偏离表.docx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核心产品</w:t>
            </w:r>
          </w:p>
        </w:tc>
        <w:tc>
          <w:tcPr>
            <w:tcW w:type="dxa" w:w="3322"/>
          </w:tcPr>
          <w:p>
            <w:pPr>
              <w:pStyle w:val="null3"/>
            </w:pPr>
            <w:r>
              <w:rPr>
                <w:rFonts w:ascii="仿宋_GB2312" w:hAnsi="仿宋_GB2312" w:cs="仿宋_GB2312" w:eastAsia="仿宋_GB2312"/>
              </w:rPr>
              <w:t>提供核心产品品牌不足3个的，视为有效投标人不足3家。</w:t>
            </w:r>
          </w:p>
        </w:tc>
        <w:tc>
          <w:tcPr>
            <w:tcW w:type="dxa" w:w="1661"/>
          </w:tcPr>
          <w:p>
            <w:pPr>
              <w:pStyle w:val="null3"/>
            </w:pPr>
            <w:r>
              <w:rPr>
                <w:rFonts w:ascii="仿宋_GB2312" w:hAnsi="仿宋_GB2312" w:cs="仿宋_GB2312" w:eastAsia="仿宋_GB2312"/>
              </w:rPr>
              <w:t>标的清单 报价表及分项报价表.docx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332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1661"/>
          </w:tcPr>
          <w:p>
            <w:pPr>
              <w:pStyle w:val="null3"/>
            </w:pPr>
            <w:r>
              <w:rPr>
                <w:rFonts w:ascii="仿宋_GB2312" w:hAnsi="仿宋_GB2312" w:cs="仿宋_GB2312" w:eastAsia="仿宋_GB2312"/>
              </w:rPr>
              <w:t>投标函 投标文件封面 商务偏离表.docx 报价表及分项报价表.docx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环保节能评审</w:t>
            </w:r>
          </w:p>
        </w:tc>
        <w:tc>
          <w:tcPr>
            <w:tcW w:type="dxa" w:w="2492"/>
          </w:tcPr>
          <w:p>
            <w:pPr>
              <w:pStyle w:val="null3"/>
            </w:pPr>
            <w:r>
              <w:rPr>
                <w:rFonts w:ascii="仿宋_GB2312" w:hAnsi="仿宋_GB2312" w:cs="仿宋_GB2312" w:eastAsia="仿宋_GB2312"/>
              </w:rPr>
              <w:t>所投产品每有一项为节能、环保、环境标志产品清单中的产品得1分，满分1分（以经国家确定的认证机构出具的、处于有效期内的节能产品、环境标志产品认证证书为准。）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完全符合、响应招标文件的每一项要求，没有负偏离计28分；▲参数每负偏离一项扣2分，非▲参数每负偏离一项扣0.5分。 1、▲参数需提供相关的技术、功能证明材料（证明材料为第三方检测报告或制造商公开发布的产品彩页或官网截图）予以佐证，未提供证明材料的按负偏离认定。 2、完全复制招标文件技术指标要求，无明确、具体响应的，每个设备给予5分扣分，扣完为止。文字描述、国标、定制尺寸的技术指标除外。</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技术方案，履约能力，售后及培训.docx</w:t>
            </w:r>
          </w:p>
          <w:p>
            <w:pPr>
              <w:pStyle w:val="null3"/>
            </w:pPr>
            <w:r>
              <w:rPr>
                <w:rFonts w:ascii="仿宋_GB2312" w:hAnsi="仿宋_GB2312" w:cs="仿宋_GB2312" w:eastAsia="仿宋_GB2312"/>
              </w:rPr>
              <w:t>规格、技术参数偏离表.docx</w:t>
            </w:r>
          </w:p>
        </w:tc>
      </w:tr>
      <w:tr>
        <w:tc>
          <w:tcPr>
            <w:tcW w:type="dxa" w:w="831"/>
            <w:vMerge/>
          </w:tcPr>
          <w:p/>
        </w:tc>
        <w:tc>
          <w:tcPr>
            <w:tcW w:type="dxa" w:w="1661"/>
          </w:tcPr>
          <w:p>
            <w:pPr>
              <w:pStyle w:val="null3"/>
            </w:pPr>
            <w:r>
              <w:rPr>
                <w:rFonts w:ascii="仿宋_GB2312" w:hAnsi="仿宋_GB2312" w:cs="仿宋_GB2312" w:eastAsia="仿宋_GB2312"/>
              </w:rPr>
              <w:t>设备选型</w:t>
            </w:r>
          </w:p>
        </w:tc>
        <w:tc>
          <w:tcPr>
            <w:tcW w:type="dxa" w:w="2492"/>
          </w:tcPr>
          <w:p>
            <w:pPr>
              <w:pStyle w:val="null3"/>
            </w:pPr>
            <w:r>
              <w:rPr>
                <w:rFonts w:ascii="仿宋_GB2312" w:hAnsi="仿宋_GB2312" w:cs="仿宋_GB2312" w:eastAsia="仿宋_GB2312"/>
              </w:rPr>
              <w:t>针对本项目的采购需求，对所投产品的选型进行详细分析说明，分析包含（1）明确设备与医院使用需求的匹配情况；（2）设备选型的具体特点，软件兼容性、配置合理性说明；（3）设备的安全防护措施及设备维护保养等全生命周期成本控制措施等。 分析各项内容全面详细、阐述条理清晰详尽、符合本项目采购需求、能有效保障本项目实施，每有一个缺项扣3分，每有一处缺陷扣0.5分，扣完为止。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p>
            <w:pPr>
              <w:pStyle w:val="null3"/>
            </w:pPr>
            <w:r>
              <w:rPr>
                <w:rFonts w:ascii="仿宋_GB2312" w:hAnsi="仿宋_GB2312" w:cs="仿宋_GB2312" w:eastAsia="仿宋_GB2312"/>
              </w:rPr>
              <w:t>规格、技术参数偏离表.docx</w:t>
            </w:r>
          </w:p>
        </w:tc>
      </w:tr>
      <w:tr>
        <w:tc>
          <w:tcPr>
            <w:tcW w:type="dxa" w:w="831"/>
            <w:vMerge/>
          </w:tcPr>
          <w:p/>
        </w:tc>
        <w:tc>
          <w:tcPr>
            <w:tcW w:type="dxa" w:w="1661"/>
          </w:tcPr>
          <w:p>
            <w:pPr>
              <w:pStyle w:val="null3"/>
            </w:pPr>
            <w:r>
              <w:rPr>
                <w:rFonts w:ascii="仿宋_GB2312" w:hAnsi="仿宋_GB2312" w:cs="仿宋_GB2312" w:eastAsia="仿宋_GB2312"/>
              </w:rPr>
              <w:t>实施方案及验收方案</w:t>
            </w:r>
          </w:p>
        </w:tc>
        <w:tc>
          <w:tcPr>
            <w:tcW w:type="dxa" w:w="2492"/>
          </w:tcPr>
          <w:p>
            <w:pPr>
              <w:pStyle w:val="null3"/>
            </w:pPr>
            <w:r>
              <w:rPr>
                <w:rFonts w:ascii="仿宋_GB2312" w:hAnsi="仿宋_GB2312" w:cs="仿宋_GB2312" w:eastAsia="仿宋_GB2312"/>
              </w:rPr>
              <w:t>供应商提供针对本项目的实施方案及验收方案，方案针对本项目实施提出（1）重点、难点分析并给出相应的解决方案；（2）安装、检测、调试措施、质量保证；（3）安全控制方案；（4）验收方案。 方案各项内容全面详细、阐述条理清晰详尽、符合本项目采购需求、能有效保障本项目实施，每有一个缺项扣1.5分，每有一处缺陷扣0.5分，扣完为止。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供货组织安排</w:t>
            </w:r>
          </w:p>
        </w:tc>
        <w:tc>
          <w:tcPr>
            <w:tcW w:type="dxa" w:w="2492"/>
          </w:tcPr>
          <w:p>
            <w:pPr>
              <w:pStyle w:val="null3"/>
            </w:pPr>
            <w:r>
              <w:rPr>
                <w:rFonts w:ascii="仿宋_GB2312" w:hAnsi="仿宋_GB2312" w:cs="仿宋_GB2312" w:eastAsia="仿宋_GB2312"/>
              </w:rPr>
              <w:t>供应商针对本项目有具体的供货组织安排，方案包含（1）详细的人员、财力调配；（2）运输、派送、安装、检测、调试措施等。 方案各项内容全面详细、阐述条理清晰详尽、符合本项目采购需求、能有效保障本项目实施，每有一个缺项扣2分，每有一处缺陷扣0.5分，扣完为止。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配套耗材、选配件等产品</w:t>
            </w:r>
          </w:p>
        </w:tc>
        <w:tc>
          <w:tcPr>
            <w:tcW w:type="dxa" w:w="2492"/>
          </w:tcPr>
          <w:p>
            <w:pPr>
              <w:pStyle w:val="null3"/>
            </w:pPr>
            <w:r>
              <w:rPr>
                <w:rFonts w:ascii="仿宋_GB2312" w:hAnsi="仿宋_GB2312" w:cs="仿宋_GB2312" w:eastAsia="仿宋_GB2312"/>
              </w:rPr>
              <w:t>供应商针对本项目提供（1）耗材、选配件等产品技术响应；（2）耗材、选配件、消耗品的详细清单及报价。 清单各项内容完整详细、报价合理、符合本项目采购需求、能有效保障本项目实施，每有一个缺项扣3分，每有一处缺陷扣0.5分，扣完为止。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产品进货渠道正规，提供证明材料不限于销售协议或代理协议、厂家授权等相关资料。质量保证，确保生产供应的产品无假货、水货、翻新货且无产权纠纷，供应商提供质量控制措施及产品来源渠道证明材料。 1、质量控制方法和措施、流程，控制重点思路清晰明确，产品合法来源渠道证明文件详细完整得3分； 2、质量控制方法和措施内容简单、流程繁琐，产品合法来源渠道证明文件完整得2分； 3、质量控制措施内容无针对性，有缺陷得1分； 4、未提供不得分。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提供供应商2022年1月1日至今同类设备合同，每提供1个得1分，最高得5分。（以合同签订日期为准)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针对本项目具有可行的技术培训方案，方案包含（1）培训采购人指定的操作和维修人员，2-3人，制定培训课程计划表，列出每种培训的地点和时间；（2）培训内容应包括所提供产品的原理和技术性能、操作维护方法、安装调试、排除故障等。 方案及承诺各项内容全面详细、阐述条理清晰详尽、符合本项目采购需求、能有效保障本项目实施，每有一个缺项扣2分，每有一处缺陷扣0.5分，扣完为止。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针对本项目提供详细的售后服务方案，包含（1）售后服务机构健全，能够提供高效服务的，具有相应的物力、人力保障；（2）在设备发生不同类型故障后的到达现场时间、解决故障时间、应急补救措施或方案。 方案各项内容全面详细、阐述条理清晰详尽、符合本项目采购需求、能有效保障本项目实施，每有一个缺项扣2分，每有一处缺陷扣0.5分，扣完为止。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价格分统一采用低价优先法计算，即满足招标文件要求且报价最低的响应报价为评审基准价，其价格分为满分。其他供应商的价格分统一按照下列公式计算： 响应报价得分=(评审基准价／响应报价)×30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详见附件：规格、技术参数偏离表.docx</w:t>
      </w:r>
    </w:p>
    <w:p>
      <w:pPr>
        <w:pStyle w:val="null3"/>
        <w:ind w:firstLine="960"/>
      </w:pPr>
      <w:r>
        <w:rPr>
          <w:rFonts w:ascii="仿宋_GB2312" w:hAnsi="仿宋_GB2312" w:cs="仿宋_GB2312" w:eastAsia="仿宋_GB2312"/>
        </w:rPr>
        <w:t>详见附件：技术方案，履约能力，售后及培训.docx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详见附件：资格响应表.docx</w:t>
      </w:r>
    </w:p>
    <w:p>
      <w:pPr>
        <w:pStyle w:val="null3"/>
        <w:ind w:firstLine="960"/>
      </w:pPr>
      <w:r>
        <w:rPr>
          <w:rFonts w:ascii="仿宋_GB2312" w:hAnsi="仿宋_GB2312" w:cs="仿宋_GB2312" w:eastAsia="仿宋_GB2312"/>
        </w:rPr>
        <w:t>详见附件：报价表及分项报价表.docx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详见附件：合同（参考）.docx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