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B3CE1">
      <w:pPr>
        <w:spacing w:line="360" w:lineRule="auto"/>
        <w:outlineLvl w:val="9"/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 xml:space="preserve">附件  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开标一览表</w:t>
      </w:r>
    </w:p>
    <w:p w14:paraId="7A524511">
      <w:pPr>
        <w:rPr>
          <w:rFonts w:hint="eastAsia" w:ascii="仿宋_GB2312" w:hAnsi="仿宋_GB2312" w:eastAsia="仿宋_GB2312" w:cs="仿宋_GB2312"/>
          <w:kern w:val="1"/>
        </w:rPr>
      </w:pPr>
      <w:bookmarkStart w:id="0" w:name="_Toc389620245"/>
      <w:bookmarkEnd w:id="0"/>
      <w:bookmarkStart w:id="1" w:name="_Toc497711590"/>
      <w:bookmarkEnd w:id="1"/>
      <w:bookmarkStart w:id="2" w:name="_Hlt491766443"/>
      <w:bookmarkEnd w:id="2"/>
      <w:bookmarkStart w:id="3" w:name="_Toc497546923"/>
      <w:bookmarkEnd w:id="3"/>
      <w:bookmarkStart w:id="4" w:name="_Toc492955464"/>
      <w:bookmarkEnd w:id="4"/>
      <w:bookmarkStart w:id="5" w:name="_Toc385992405"/>
      <w:bookmarkEnd w:id="5"/>
      <w:bookmarkStart w:id="6" w:name="_Toc497712138"/>
      <w:bookmarkEnd w:id="6"/>
      <w:bookmarkStart w:id="7" w:name="_Toc246928964"/>
      <w:bookmarkEnd w:id="7"/>
      <w:bookmarkStart w:id="8" w:name="_Toc497551825"/>
      <w:bookmarkEnd w:id="8"/>
    </w:p>
    <w:tbl>
      <w:tblPr>
        <w:tblStyle w:val="4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4D9342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30CA4337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59C5C140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0B67815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4F406B2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6DBC016C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694593C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7FD50E3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14E2B50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99DF1E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6BC5EAFE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投标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 w14:paraId="4712AD3C">
            <w:pPr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元</w:t>
            </w:r>
          </w:p>
          <w:p w14:paraId="392362B8">
            <w:pPr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 xml:space="preserve">小写：¥ 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u w:val="single"/>
              </w:rPr>
              <w:t xml:space="preserve">        </w:t>
            </w:r>
          </w:p>
        </w:tc>
      </w:tr>
      <w:tr w14:paraId="794C3B5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69B4CE3D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交货期、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质保期、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付款方式是否响应</w:t>
            </w:r>
          </w:p>
        </w:tc>
        <w:tc>
          <w:tcPr>
            <w:tcW w:w="6022" w:type="dxa"/>
            <w:noWrap w:val="0"/>
            <w:vAlign w:val="center"/>
          </w:tcPr>
          <w:p w14:paraId="69599039">
            <w:pPr>
              <w:ind w:firstLine="960" w:firstLineChars="400"/>
              <w:jc w:val="both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是/否</w:t>
            </w:r>
          </w:p>
        </w:tc>
      </w:tr>
    </w:tbl>
    <w:p w14:paraId="6AFF9214">
      <w:pPr>
        <w:rPr>
          <w:rFonts w:hint="eastAsia" w:ascii="仿宋_GB2312" w:hAnsi="仿宋_GB2312" w:eastAsia="仿宋_GB2312" w:cs="仿宋_GB2312"/>
          <w:kern w:val="1"/>
          <w:sz w:val="24"/>
          <w:highlight w:val="none"/>
        </w:rPr>
      </w:pPr>
    </w:p>
    <w:p w14:paraId="419EBC0F">
      <w:pPr>
        <w:spacing w:line="480" w:lineRule="auto"/>
        <w:rPr>
          <w:rFonts w:hint="default" w:ascii="仿宋_GB2312" w:hAnsi="仿宋_GB2312" w:eastAsia="仿宋_GB2312" w:cs="仿宋_GB2312"/>
          <w:b/>
          <w:bCs/>
          <w:kern w:val="1"/>
          <w:sz w:val="24"/>
          <w:szCs w:val="24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1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若投标文件其它部分</w:t>
      </w:r>
      <w:r>
        <w:rPr>
          <w:rFonts w:hint="eastAsia" w:ascii="仿宋_GB2312" w:hAnsi="仿宋_GB2312" w:eastAsia="仿宋_GB2312" w:cs="仿宋_GB2312"/>
          <w:b/>
          <w:bCs/>
          <w:kern w:val="1"/>
          <w:sz w:val="24"/>
          <w:szCs w:val="24"/>
          <w:highlight w:val="none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交货期、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  <w:t>付款方式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质保期的响应与此报价表不一致时，以本报价表响应内容为准。</w:t>
      </w:r>
    </w:p>
    <w:p w14:paraId="4D67FACB">
      <w:pPr>
        <w:rPr>
          <w:rFonts w:hint="eastAsia" w:ascii="仿宋_GB2312" w:hAnsi="仿宋_GB2312" w:eastAsia="仿宋_GB2312" w:cs="仿宋_GB2312"/>
          <w:kern w:val="1"/>
          <w:sz w:val="30"/>
          <w:highlight w:val="none"/>
        </w:rPr>
      </w:pPr>
    </w:p>
    <w:p w14:paraId="1DFD61C1">
      <w:pPr>
        <w:pStyle w:val="2"/>
        <w:rPr>
          <w:rFonts w:hint="eastAsia" w:ascii="仿宋_GB2312" w:hAnsi="仿宋_GB2312" w:eastAsia="仿宋_GB2312" w:cs="仿宋_GB2312"/>
        </w:rPr>
      </w:pPr>
    </w:p>
    <w:p w14:paraId="6FC0AD6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1E7CE520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238B7BDD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42F1142E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</w:p>
    <w:p w14:paraId="5BA1218D">
      <w:pPr>
        <w:rPr>
          <w:rFonts w:hint="eastAsia" w:ascii="仿宋_GB2312" w:hAnsi="仿宋_GB2312" w:eastAsia="仿宋_GB2312" w:cs="仿宋_GB2312"/>
          <w:bCs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highlight w:val="none"/>
          <w:lang w:val="en-US" w:eastAsia="zh-CN"/>
        </w:rPr>
        <w:br w:type="page"/>
      </w:r>
    </w:p>
    <w:p w14:paraId="148DD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附件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分项报价表</w:t>
      </w:r>
    </w:p>
    <w:p w14:paraId="15C405D3">
      <w:pPr>
        <w:pStyle w:val="3"/>
        <w:rPr>
          <w:rFonts w:hint="eastAsia" w:ascii="仿宋_GB2312" w:hAnsi="仿宋_GB2312" w:eastAsia="仿宋_GB2312" w:cs="仿宋_GB2312"/>
        </w:rPr>
      </w:pPr>
    </w:p>
    <w:p w14:paraId="13186351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25BFAD71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32"/>
        <w:gridCol w:w="1094"/>
        <w:gridCol w:w="700"/>
        <w:gridCol w:w="738"/>
        <w:gridCol w:w="762"/>
        <w:gridCol w:w="788"/>
        <w:gridCol w:w="750"/>
        <w:gridCol w:w="700"/>
        <w:gridCol w:w="1025"/>
        <w:gridCol w:w="973"/>
      </w:tblGrid>
      <w:tr w14:paraId="529DC2A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832" w:type="dxa"/>
            <w:tcBorders>
              <w:right w:val="single" w:color="auto" w:sz="4" w:space="0"/>
            </w:tcBorders>
            <w:noWrap w:val="0"/>
            <w:vAlign w:val="center"/>
          </w:tcPr>
          <w:p w14:paraId="7AA475D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094" w:type="dxa"/>
            <w:tcBorders>
              <w:left w:val="single" w:color="auto" w:sz="4" w:space="0"/>
            </w:tcBorders>
            <w:noWrap w:val="0"/>
            <w:vAlign w:val="center"/>
          </w:tcPr>
          <w:p w14:paraId="60D5E01A">
            <w:pPr>
              <w:pStyle w:val="6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货物名称</w:t>
            </w:r>
          </w:p>
        </w:tc>
        <w:tc>
          <w:tcPr>
            <w:tcW w:w="700" w:type="dxa"/>
            <w:noWrap w:val="0"/>
            <w:vAlign w:val="center"/>
          </w:tcPr>
          <w:p w14:paraId="07021F3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品牌</w:t>
            </w:r>
          </w:p>
        </w:tc>
        <w:tc>
          <w:tcPr>
            <w:tcW w:w="738" w:type="dxa"/>
            <w:noWrap w:val="0"/>
            <w:vAlign w:val="center"/>
          </w:tcPr>
          <w:p w14:paraId="7AF2241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型号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规格</w:t>
            </w:r>
          </w:p>
        </w:tc>
        <w:tc>
          <w:tcPr>
            <w:tcW w:w="762" w:type="dxa"/>
            <w:noWrap w:val="0"/>
            <w:vAlign w:val="center"/>
          </w:tcPr>
          <w:p w14:paraId="7F56136B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lang w:val="en-US" w:eastAsia="zh-CN"/>
              </w:rPr>
              <w:t>生产厂家</w:t>
            </w:r>
          </w:p>
        </w:tc>
        <w:tc>
          <w:tcPr>
            <w:tcW w:w="788" w:type="dxa"/>
            <w:noWrap w:val="0"/>
            <w:vAlign w:val="center"/>
          </w:tcPr>
          <w:p w14:paraId="3075685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产地</w:t>
            </w:r>
          </w:p>
        </w:tc>
        <w:tc>
          <w:tcPr>
            <w:tcW w:w="750" w:type="dxa"/>
            <w:noWrap w:val="0"/>
            <w:vAlign w:val="center"/>
          </w:tcPr>
          <w:p w14:paraId="07DD719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单位</w:t>
            </w:r>
          </w:p>
        </w:tc>
        <w:tc>
          <w:tcPr>
            <w:tcW w:w="700" w:type="dxa"/>
            <w:noWrap w:val="0"/>
            <w:vAlign w:val="center"/>
          </w:tcPr>
          <w:p w14:paraId="76CE4E1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数量</w:t>
            </w:r>
          </w:p>
        </w:tc>
        <w:tc>
          <w:tcPr>
            <w:tcW w:w="1025" w:type="dxa"/>
            <w:noWrap w:val="0"/>
            <w:vAlign w:val="center"/>
          </w:tcPr>
          <w:p w14:paraId="26043A8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单价</w:t>
            </w:r>
          </w:p>
          <w:p w14:paraId="43B0423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973" w:type="dxa"/>
            <w:noWrap w:val="0"/>
            <w:vAlign w:val="center"/>
          </w:tcPr>
          <w:p w14:paraId="5CCB5FD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总价</w:t>
            </w:r>
          </w:p>
          <w:p w14:paraId="5B9967C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）</w:t>
            </w:r>
          </w:p>
        </w:tc>
      </w:tr>
      <w:tr w14:paraId="0FFB8C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32" w:type="dxa"/>
            <w:tcBorders>
              <w:right w:val="single" w:color="auto" w:sz="4" w:space="0"/>
            </w:tcBorders>
            <w:noWrap w:val="0"/>
            <w:vAlign w:val="center"/>
          </w:tcPr>
          <w:p w14:paraId="5813C3F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094" w:type="dxa"/>
            <w:tcBorders>
              <w:left w:val="single" w:color="auto" w:sz="4" w:space="0"/>
            </w:tcBorders>
            <w:noWrap w:val="0"/>
            <w:vAlign w:val="center"/>
          </w:tcPr>
          <w:p w14:paraId="0E507E4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5D742C0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F87080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2" w:type="dxa"/>
            <w:noWrap w:val="0"/>
            <w:vAlign w:val="top"/>
          </w:tcPr>
          <w:p w14:paraId="2EC9206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8" w:type="dxa"/>
            <w:noWrap w:val="0"/>
            <w:vAlign w:val="top"/>
          </w:tcPr>
          <w:p w14:paraId="42D6613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50" w:type="dxa"/>
            <w:noWrap w:val="0"/>
            <w:vAlign w:val="top"/>
          </w:tcPr>
          <w:p w14:paraId="61084F4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6754BCE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30C66C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3" w:type="dxa"/>
            <w:noWrap w:val="0"/>
            <w:vAlign w:val="center"/>
          </w:tcPr>
          <w:p w14:paraId="59B6725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D72B7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32" w:type="dxa"/>
            <w:tcBorders>
              <w:right w:val="single" w:color="auto" w:sz="4" w:space="0"/>
            </w:tcBorders>
            <w:noWrap w:val="0"/>
            <w:vAlign w:val="center"/>
          </w:tcPr>
          <w:p w14:paraId="5E6DBCB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094" w:type="dxa"/>
            <w:tcBorders>
              <w:left w:val="single" w:color="auto" w:sz="4" w:space="0"/>
            </w:tcBorders>
            <w:noWrap w:val="0"/>
            <w:vAlign w:val="center"/>
          </w:tcPr>
          <w:p w14:paraId="595CE87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6448B30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FDFD01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2" w:type="dxa"/>
            <w:noWrap w:val="0"/>
            <w:vAlign w:val="top"/>
          </w:tcPr>
          <w:p w14:paraId="240355E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8" w:type="dxa"/>
            <w:noWrap w:val="0"/>
            <w:vAlign w:val="top"/>
          </w:tcPr>
          <w:p w14:paraId="013E64B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50" w:type="dxa"/>
            <w:noWrap w:val="0"/>
            <w:vAlign w:val="top"/>
          </w:tcPr>
          <w:p w14:paraId="211981D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7AC49A9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A7D806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832A87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566691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32" w:type="dxa"/>
            <w:tcBorders>
              <w:right w:val="single" w:color="auto" w:sz="4" w:space="0"/>
            </w:tcBorders>
            <w:noWrap w:val="0"/>
            <w:vAlign w:val="center"/>
          </w:tcPr>
          <w:p w14:paraId="0966D9B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094" w:type="dxa"/>
            <w:tcBorders>
              <w:left w:val="single" w:color="auto" w:sz="4" w:space="0"/>
            </w:tcBorders>
            <w:noWrap w:val="0"/>
            <w:vAlign w:val="center"/>
          </w:tcPr>
          <w:p w14:paraId="30D7512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5A8ED48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380BACC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2" w:type="dxa"/>
            <w:noWrap w:val="0"/>
            <w:vAlign w:val="top"/>
          </w:tcPr>
          <w:p w14:paraId="65E5F3F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8" w:type="dxa"/>
            <w:noWrap w:val="0"/>
            <w:vAlign w:val="top"/>
          </w:tcPr>
          <w:p w14:paraId="51B8490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50" w:type="dxa"/>
            <w:noWrap w:val="0"/>
            <w:vAlign w:val="top"/>
          </w:tcPr>
          <w:p w14:paraId="322B3AA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5775AC5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9A7955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6A3932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13CFD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32" w:type="dxa"/>
            <w:tcBorders>
              <w:right w:val="single" w:color="auto" w:sz="4" w:space="0"/>
            </w:tcBorders>
            <w:noWrap w:val="0"/>
            <w:vAlign w:val="center"/>
          </w:tcPr>
          <w:p w14:paraId="0994563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094" w:type="dxa"/>
            <w:tcBorders>
              <w:left w:val="single" w:color="auto" w:sz="4" w:space="0"/>
            </w:tcBorders>
            <w:noWrap w:val="0"/>
            <w:vAlign w:val="center"/>
          </w:tcPr>
          <w:p w14:paraId="5101371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5E9F1AF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3E24DA8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2" w:type="dxa"/>
            <w:noWrap w:val="0"/>
            <w:vAlign w:val="top"/>
          </w:tcPr>
          <w:p w14:paraId="0667984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8" w:type="dxa"/>
            <w:noWrap w:val="0"/>
            <w:vAlign w:val="top"/>
          </w:tcPr>
          <w:p w14:paraId="0FFB6F2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50" w:type="dxa"/>
            <w:noWrap w:val="0"/>
            <w:vAlign w:val="top"/>
          </w:tcPr>
          <w:p w14:paraId="75E4B10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2D10951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A31529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66FDEB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774811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32" w:type="dxa"/>
            <w:tcBorders>
              <w:right w:val="single" w:color="auto" w:sz="4" w:space="0"/>
            </w:tcBorders>
            <w:noWrap w:val="0"/>
            <w:vAlign w:val="center"/>
          </w:tcPr>
          <w:p w14:paraId="74D173C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094" w:type="dxa"/>
            <w:tcBorders>
              <w:left w:val="single" w:color="auto" w:sz="4" w:space="0"/>
            </w:tcBorders>
            <w:noWrap w:val="0"/>
            <w:vAlign w:val="center"/>
          </w:tcPr>
          <w:p w14:paraId="603D9F8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673BE7C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D35793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2" w:type="dxa"/>
            <w:noWrap w:val="0"/>
            <w:vAlign w:val="top"/>
          </w:tcPr>
          <w:p w14:paraId="4DB2470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8" w:type="dxa"/>
            <w:noWrap w:val="0"/>
            <w:vAlign w:val="top"/>
          </w:tcPr>
          <w:p w14:paraId="1F221E6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50" w:type="dxa"/>
            <w:noWrap w:val="0"/>
            <w:vAlign w:val="top"/>
          </w:tcPr>
          <w:p w14:paraId="201EE31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00" w:type="dxa"/>
            <w:noWrap w:val="0"/>
            <w:vAlign w:val="center"/>
          </w:tcPr>
          <w:p w14:paraId="2F5669D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B56EC6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DC00FF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08175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362" w:type="dxa"/>
            <w:gridSpan w:val="10"/>
            <w:noWrap w:val="0"/>
            <w:vAlign w:val="center"/>
          </w:tcPr>
          <w:p w14:paraId="1FA5DD3D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投标报价（人民币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/元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）：</w:t>
            </w:r>
          </w:p>
        </w:tc>
      </w:tr>
    </w:tbl>
    <w:p w14:paraId="019907EE">
      <w:pPr>
        <w:rPr>
          <w:rFonts w:hint="eastAsia" w:ascii="仿宋_GB2312" w:hAnsi="仿宋_GB2312" w:eastAsia="仿宋_GB2312" w:cs="仿宋_GB2312"/>
          <w:sz w:val="24"/>
        </w:rPr>
      </w:pPr>
    </w:p>
    <w:p w14:paraId="784AF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highlight w:val="none"/>
          <w:lang w:val="en-US" w:eastAsia="zh-CN" w:bidi="ar-SA"/>
        </w:rPr>
        <w:t>备注：1、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以上表格内容可进行扩充，但不得对已有内容进行修改。</w:t>
      </w:r>
    </w:p>
    <w:p w14:paraId="55B0FF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1"/>
          <w:szCs w:val="24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线上系统中附件“标的清单”中的“总价”应与附件“报价表”中“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”和“分项报价表”中“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”内容保持一致。</w:t>
      </w:r>
    </w:p>
    <w:p w14:paraId="3F7A1C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本表所列产品型号为所投产品型号，应与所附注册证型号保持一致，此项属于实质性条款，不接受澄清，若与注册证型号不一致将视为无效投标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。</w:t>
      </w:r>
    </w:p>
    <w:p w14:paraId="5C9DDE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4、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投标文件含有采购人不能接受的附加条件，投标无效。</w:t>
      </w:r>
    </w:p>
    <w:p w14:paraId="4534DF4E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7D973405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0E7C619E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40433B8A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B5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6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2026-04-03T05:08:05Z</dcterms:created>
  <dc:creator>Administrator</dc:creator>
  <cp:lastModifiedBy>陕西中技招标</cp:lastModifiedBy>
  <dcterms:modified xsi:type="dcterms:W3CDTF">2026-04-03T05:10:37Z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eyJoZGlkIjoiN2M0ODk3OGU2ZDI1NWMxZGY3ZDhiMmMxYmU1ZDk3MGQiLCJ1c2VySWQiOiI0ODM0NjExNDgifQ==</vt:lpwstr>
  </property>
  <property fmtid="{D5CDD505-2E9C-101B-9397-08002B2CF9AE}" pid="4" name="ICV">
    <vt:lpwstr>9BF94BCF4DAE42D783BA0FE84D84EDE5_12</vt:lpwstr>
  </property>
</Properties>
</file>