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版本号：ZXGJ-ZFCG-2026.031920260414001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汽车用制动器衬片等18种产品质量监督抽查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ZXGJ-ZFCG-2026.0319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汽车用制动器衬片等18种产品质量监督抽查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ZXGJ-ZFCG-2026.0319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汽车用制动器衬片等18种产品质量监督抽查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汽车用制动器衬片等18种产品质量监督抽查该项目共分为4个包，一包：汽车用制动器村片等4产品质量监督抽查；二包：按摩器具等6种产品质量监督抽查；三包：安全网等4种产品质量监督抽查；四包：移动电源等4种产品质量监督抽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3、资质证书：具有有效期内的《检验检测机构资质认定证书》</w:t>
      </w:r>
    </w:p>
    <w:p>
      <w:pPr>
        <w:pStyle w:val="null3"/>
      </w:pPr>
      <w:r>
        <w:rPr>
          <w:rFonts w:ascii="仿宋_GB2312" w:hAnsi="仿宋_GB2312" w:cs="仿宋_GB2312" w:eastAsia="仿宋_GB2312"/>
        </w:rPr>
        <w:t>4、财务报告：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9、书面声明：具有履行本合同所必需的设备和专业技术能力的书面声明；</w:t>
      </w:r>
    </w:p>
    <w:p>
      <w:pPr>
        <w:pStyle w:val="null3"/>
      </w:pPr>
      <w:r>
        <w:rPr>
          <w:rFonts w:ascii="仿宋_GB2312" w:hAnsi="仿宋_GB2312" w:cs="仿宋_GB2312" w:eastAsia="仿宋_GB2312"/>
        </w:rPr>
        <w:t>10、书面声明：单位负责人为同一人或者存在直接控股、管理关系的不同供应商，不得参加同一合同项下的政府采购活动的书面声明。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3、资质证书：具有有效期内的《检验检测机构资质认定证书》</w:t>
      </w:r>
    </w:p>
    <w:p>
      <w:pPr>
        <w:pStyle w:val="null3"/>
      </w:pPr>
      <w:r>
        <w:rPr>
          <w:rFonts w:ascii="仿宋_GB2312" w:hAnsi="仿宋_GB2312" w:cs="仿宋_GB2312" w:eastAsia="仿宋_GB2312"/>
        </w:rPr>
        <w:t>4、财务报告：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9、书面声明：具有履行本合同所必需的设备和专业技术能力的书面声明；</w:t>
      </w:r>
    </w:p>
    <w:p>
      <w:pPr>
        <w:pStyle w:val="null3"/>
      </w:pPr>
      <w:r>
        <w:rPr>
          <w:rFonts w:ascii="仿宋_GB2312" w:hAnsi="仿宋_GB2312" w:cs="仿宋_GB2312" w:eastAsia="仿宋_GB2312"/>
        </w:rPr>
        <w:t>10、书面声明：单位负责人为同一人或者存在直接控股、管理关系的不同供应商，不得参加同一合同项下的政府采购活动的书面声明。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3、资质证书：具有有效期内的《检验检测机构资质认定证书》</w:t>
      </w:r>
    </w:p>
    <w:p>
      <w:pPr>
        <w:pStyle w:val="null3"/>
      </w:pPr>
      <w:r>
        <w:rPr>
          <w:rFonts w:ascii="仿宋_GB2312" w:hAnsi="仿宋_GB2312" w:cs="仿宋_GB2312" w:eastAsia="仿宋_GB2312"/>
        </w:rPr>
        <w:t>4、财务报告：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9、书面声明：具有履行本合同所必需的设备和专业技术能力的书面声明；</w:t>
      </w:r>
    </w:p>
    <w:p>
      <w:pPr>
        <w:pStyle w:val="null3"/>
      </w:pPr>
      <w:r>
        <w:rPr>
          <w:rFonts w:ascii="仿宋_GB2312" w:hAnsi="仿宋_GB2312" w:cs="仿宋_GB2312" w:eastAsia="仿宋_GB2312"/>
        </w:rPr>
        <w:t>10、书面声明：单位负责人为同一人或者存在直接控股、管理关系的不同供应商，不得参加同一合同项下的政府采购活动的书面声明。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3、资质证书：具有有效期内的《检验检测机构资质认定证书》</w:t>
      </w:r>
    </w:p>
    <w:p>
      <w:pPr>
        <w:pStyle w:val="null3"/>
      </w:pPr>
      <w:r>
        <w:rPr>
          <w:rFonts w:ascii="仿宋_GB2312" w:hAnsi="仿宋_GB2312" w:cs="仿宋_GB2312" w:eastAsia="仿宋_GB2312"/>
        </w:rPr>
        <w:t>4、财务报告：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8、保证金转账凭证或保函复印件：提供磋商保证金银行转账凭证及基本账户信息证明资料复印件或金融机构、担保机构出具的保函复印件，复印件均须加盖公章；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9、书面声明：具有履行本合同所必需的设备和专业技术能力的书面声明；</w:t>
      </w:r>
    </w:p>
    <w:p>
      <w:pPr>
        <w:pStyle w:val="null3"/>
      </w:pPr>
      <w:r>
        <w:rPr>
          <w:rFonts w:ascii="仿宋_GB2312" w:hAnsi="仿宋_GB2312" w:cs="仿宋_GB2312" w:eastAsia="仿宋_GB2312"/>
        </w:rPr>
        <w:t>10、书面声明：单位负责人为同一人或者存在直接控股、管理关系的不同供应商，不得参加同一合同项下的政府采购活动的书面声明。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许倩、秦瑶、王超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采购包1：500,400.00元</w:t>
            </w:r>
          </w:p>
          <w:p>
            <w:pPr>
              <w:pStyle w:val="null3"/>
            </w:pPr>
            <w:r>
              <w:rPr>
                <w:rFonts w:ascii="仿宋_GB2312" w:hAnsi="仿宋_GB2312" w:cs="仿宋_GB2312" w:eastAsia="仿宋_GB2312"/>
              </w:rPr>
              <w:t>采购包2：464,500.00元</w:t>
            </w:r>
          </w:p>
          <w:p>
            <w:pPr>
              <w:pStyle w:val="null3"/>
            </w:pPr>
            <w:r>
              <w:rPr>
                <w:rFonts w:ascii="仿宋_GB2312" w:hAnsi="仿宋_GB2312" w:cs="仿宋_GB2312" w:eastAsia="仿宋_GB2312"/>
              </w:rPr>
              <w:t>采购包3：476,872.00元</w:t>
            </w:r>
          </w:p>
          <w:p>
            <w:pPr>
              <w:pStyle w:val="null3"/>
            </w:pPr>
            <w:r>
              <w:rPr>
                <w:rFonts w:ascii="仿宋_GB2312" w:hAnsi="仿宋_GB2312" w:cs="仿宋_GB2312" w:eastAsia="仿宋_GB2312"/>
              </w:rPr>
              <w:t>采购包4：514,000.00元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采购包4保证金金额：8,000.00元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开户银行：平安银行股份有限公司西安经济技术开发区支行</w:t>
            </w:r>
          </w:p>
          <w:p>
            <w:pPr>
              <w:pStyle w:val="null3"/>
            </w:pPr>
            <w:r>
              <w:rPr>
                <w:rFonts w:ascii="仿宋_GB2312" w:hAnsi="仿宋_GB2312" w:cs="仿宋_GB2312" w:eastAsia="仿宋_GB2312"/>
              </w:rPr>
              <w:t>银行账号：30201687008369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采购代理服务费不足捌仟元按照捌仟元收取。具体收费金额将在成交公告中公布。请将采购代理服务费汇至下列指定账户：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房雪娇、秦瑶、王超</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汽车用制动器衬片等18种产品质量监督抽查该项目共分为4个包，一包：汽车用制动器村片等4产品质量监督抽查；二包：按摩器具等6种产品质量监督抽查；三包：安全网等4种产品质量监督抽查；四包：移动电源等4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500,400.00</w:t>
      </w:r>
    </w:p>
    <w:p>
      <w:pPr>
        <w:pStyle w:val="null3"/>
      </w:pPr>
      <w:r>
        <w:rPr>
          <w:rFonts w:ascii="仿宋_GB2312" w:hAnsi="仿宋_GB2312" w:cs="仿宋_GB2312" w:eastAsia="仿宋_GB2312"/>
        </w:rPr>
        <w:t>采购包最高限价（元）: 500,400.00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汽车用制动器衬片等4产品质量监督抽查</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right"/>
            </w:pPr>
            <w:r>
              <w:rPr>
                <w:rFonts w:ascii="仿宋_GB2312" w:hAnsi="仿宋_GB2312" w:cs="仿宋_GB2312" w:eastAsia="仿宋_GB2312"/>
              </w:rPr>
              <w:t>500,400.00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464,500.00</w:t>
      </w:r>
    </w:p>
    <w:p>
      <w:pPr>
        <w:pStyle w:val="null3"/>
      </w:pPr>
      <w:r>
        <w:rPr>
          <w:rFonts w:ascii="仿宋_GB2312" w:hAnsi="仿宋_GB2312" w:cs="仿宋_GB2312" w:eastAsia="仿宋_GB2312"/>
        </w:rPr>
        <w:t>采购包最高限价（元）: 464,500.00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按摩器具等6种产品质量监督抽查</w:t>
            </w:r>
          </w:p>
        </w:tc>
        <w:tc>
          <w:tcPr>
            <w:tcW w:type="dxa" w:w="831"/>
          </w:tcPr>
          <w:p>
            <w:pPr>
              <w:pStyle w:val="null3"/>
              <w:jc w:val="right"/>
            </w:pPr>
            <w:r>
              <w:rPr>
                <w:rFonts w:ascii="仿宋_GB2312" w:hAnsi="仿宋_GB2312" w:cs="仿宋_GB2312" w:eastAsia="仿宋_GB2312"/>
              </w:rPr>
              <w:t>155.00</w:t>
            </w:r>
          </w:p>
        </w:tc>
        <w:tc>
          <w:tcPr>
            <w:tcW w:type="dxa" w:w="831"/>
          </w:tcPr>
          <w:p>
            <w:pPr>
              <w:pStyle w:val="null3"/>
              <w:jc w:val="right"/>
            </w:pPr>
            <w:r>
              <w:rPr>
                <w:rFonts w:ascii="仿宋_GB2312" w:hAnsi="仿宋_GB2312" w:cs="仿宋_GB2312" w:eastAsia="仿宋_GB2312"/>
              </w:rPr>
              <w:t>464,500.00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476,872.00</w:t>
      </w:r>
    </w:p>
    <w:p>
      <w:pPr>
        <w:pStyle w:val="null3"/>
      </w:pPr>
      <w:r>
        <w:rPr>
          <w:rFonts w:ascii="仿宋_GB2312" w:hAnsi="仿宋_GB2312" w:cs="仿宋_GB2312" w:eastAsia="仿宋_GB2312"/>
        </w:rPr>
        <w:t>采购包最高限价（元）: 476,872.00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安全网等4种产品质量监督抽查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476,872.00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514,000.00</w:t>
      </w:r>
    </w:p>
    <w:p>
      <w:pPr>
        <w:pStyle w:val="null3"/>
      </w:pPr>
      <w:r>
        <w:rPr>
          <w:rFonts w:ascii="仿宋_GB2312" w:hAnsi="仿宋_GB2312" w:cs="仿宋_GB2312" w:eastAsia="仿宋_GB2312"/>
        </w:rPr>
        <w:t>采购包最高限价（元）: 514,000.00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移动电源等4种产品质量监督抽查</w:t>
            </w:r>
          </w:p>
        </w:tc>
        <w:tc>
          <w:tcPr>
            <w:tcW w:type="dxa" w:w="831"/>
          </w:tcPr>
          <w:p>
            <w:pPr>
              <w:pStyle w:val="null3"/>
              <w:jc w:val="right"/>
            </w:pPr>
            <w:r>
              <w:rPr>
                <w:rFonts w:ascii="仿宋_GB2312" w:hAnsi="仿宋_GB2312" w:cs="仿宋_GB2312" w:eastAsia="仿宋_GB2312"/>
              </w:rPr>
              <w:t>165.00</w:t>
            </w:r>
          </w:p>
        </w:tc>
        <w:tc>
          <w:tcPr>
            <w:tcW w:type="dxa" w:w="831"/>
          </w:tcPr>
          <w:p>
            <w:pPr>
              <w:pStyle w:val="null3"/>
              <w:jc w:val="right"/>
            </w:pPr>
            <w:r>
              <w:rPr>
                <w:rFonts w:ascii="仿宋_GB2312" w:hAnsi="仿宋_GB2312" w:cs="仿宋_GB2312" w:eastAsia="仿宋_GB2312"/>
              </w:rPr>
              <w:t>514,000.00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标的名称：汽车用制动器衬片等4产品质量监督抽查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78"/>
              <w:gridCol w:w="120"/>
              <w:gridCol w:w="142"/>
              <w:gridCol w:w="100"/>
              <w:gridCol w:w="133"/>
              <w:gridCol w:w="159"/>
              <w:gridCol w:w="194"/>
              <w:gridCol w:w="1548"/>
            </w:tblGrid>
            <w:tr>
              <w:tc>
                <w:tcPr>
                  <w:tcW w:type="dxa" w:w="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w:t>
                  </w: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汽车用制动器衬片</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4"/>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50.04</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5763-2018：摩擦性能、有害成分限量</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摩托车和轻便摩托车制动蹄组件和制动衬组件</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4"/>
                  <w:vMerge/>
                  <w:tcBorders>
                    <w:top w:val="none" w:color="000000" w:sz="4"/>
                    <w:left w:val="none" w:color="000000" w:sz="4"/>
                    <w:bottom w:val="none" w:color="000000" w:sz="4"/>
                    <w:right w:val="none" w:color="000000" w:sz="4"/>
                  </w:tcBorders>
                </w:tcP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QC/T 226-2014：摩擦性能、径向压溃压力值、石棉含量</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纸面石膏板</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94"/>
                  <w:vMerge/>
                  <w:tcBorders>
                    <w:top w:val="none" w:color="000000" w:sz="4"/>
                    <w:left w:val="none" w:color="000000" w:sz="4"/>
                    <w:bottom w:val="none" w:color="000000" w:sz="4"/>
                    <w:right w:val="none" w:color="000000" w:sz="4"/>
                  </w:tcBorders>
                </w:tcP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9775-2025：面</w:t>
                  </w:r>
                  <w:r>
                    <w:rPr>
                      <w:rFonts w:ascii="仿宋_GB2312" w:hAnsi="仿宋_GB2312" w:cs="仿宋_GB2312" w:eastAsia="仿宋_GB2312"/>
                      <w:sz w:val="18"/>
                      <w:color w:val="000000"/>
                    </w:rPr>
                    <w:t>密度、断裂荷载、硬度、抗冲击性、护面纸与芯材粘接型、吸水率、表面吸水量、遇火稳定性、受潮挠度、剪切力</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耐油石棉橡胶板</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194"/>
                  <w:vMerge/>
                  <w:tcBorders>
                    <w:top w:val="none" w:color="000000" w:sz="4"/>
                    <w:left w:val="none" w:color="000000" w:sz="4"/>
                    <w:bottom w:val="none" w:color="000000" w:sz="4"/>
                    <w:right w:val="none" w:color="000000" w:sz="4"/>
                  </w:tcBorders>
                </w:tcP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3985-2008《石棉橡胶板》；GB/T 539-2008《耐油石棉橡胶板》；JC/T 2052-2020《辊压法无石棉纤维垫片材料》；GB/T 27793-2024《抄取法无石棉纤维垫片材料》JB/T7758.2-2005  《柔性石墨板技术条件》；JC/T 554-2009 《石棉胶乳抄取板》：横向拉伸强度、压缩率、回弹率、耐液性、氮气泄露率等项目</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供应商必须完成额定抽检批次数量。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jc w:val="left"/>
            </w:pPr>
            <w:r>
              <w:rPr>
                <w:rFonts w:ascii="仿宋_GB2312" w:hAnsi="仿宋_GB2312" w:cs="仿宋_GB2312" w:eastAsia="仿宋_GB2312"/>
                <w:sz w:val="24"/>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sz w:val="24"/>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标的名称：按摩器具等6种产品质量监督抽查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78"/>
              <w:gridCol w:w="120"/>
              <w:gridCol w:w="142"/>
              <w:gridCol w:w="100"/>
              <w:gridCol w:w="133"/>
              <w:gridCol w:w="159"/>
              <w:gridCol w:w="194"/>
              <w:gridCol w:w="1548"/>
            </w:tblGrid>
            <w:tr>
              <w:tc>
                <w:tcPr>
                  <w:tcW w:type="dxa" w:w="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w:t>
                  </w: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按摩器具</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46.45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2005；GB 4706.10</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2008；GB/T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2024；GB/T 4706.10</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对触及带电部件的防护输入功率和电流、发热、工作温度下的泄漏电流和电气强度、耐潮湿、泄漏电流和电气强度、非正常工作（不包括第19.11.4条试验）、稳定性和机械危险、机械强度、结构（不包括第22.46条试验）、内部布线、电源连接和外部软线、外部导线用接线端子、或外部导体用接线端子、接地措施、螺钉和连接、电气间隙、爬电距离和固体绝缘</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电压力锅</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2005；GB 4706.19</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2008；GB/T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2024；GB/T 4706.19</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对触及带电部件的防护、输入功率和电流、工作温度下的泄漏电流和电气强度、耐潮湿、泄漏电流和电气强度、稳定性和机械危险、机械强度、结构（不含22.46）、内部布线、电源连接和外部软线、外部导线用接线端子、接地措施、螺钉和连接</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吸油烟机</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2005；GB 4706.28</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2008；GB/T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2024；GB/T 4706.28</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对触及带电部件的防护、输入功率和电流、发热、工作温度下的泄漏电流和电气强度、耐潮湿、泄漏电流和电气强度、非正常工作（不包括第19.11条试验）、稳定性和机械危险、机械强度、结构（不包括第22.46条试验）、内部布线、电源连接和外部软线、外部导线用接线端子或外部导体用接线端子、接地措施、螺钉和连接、电气间隙、爬电距离和固体绝缘</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厨房机械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2005；GB 4706.19</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2008；GB 4706.30</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2008；GB/T 4706.1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2024；GB/T 4706.19</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2024；GB/T 4706.30</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 ：对触及带电部件的防护、输入功率和电流、发热、工作温度下的泄漏电流和电气强度、耐潮湿、泄漏电流和电气强度、非正常工作（不包括第19.11.4条试验）、稳定性和机械危险、机械强度、结构（不包括第22.46条试验）、内部布线、电源连接和外部软线、外部导线用接线端子、或外部导体用接线端子、接地措施、螺钉和连接、电气间隙、爬电距离和固体绝缘</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投影机</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4943.1-2022：导体的固定、电气间隙、爬电距离、抗电强度试验、断开连接器后电容器的放电、保护导体、预期的接触电压、接触电流和保护导体电流、热灼伤（接触温度限值）</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扫描仪</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-2022：电能量源的分级和限值、电能量源的防护、电气间隙、爬电距离、抗电强度试验、断开连接器后电容器的放电、保护连接系统的电阻、预期的接触电压、接触电流和保护导体电流、接触温度限值、输入试验</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供应商必须完成额定抽检批次数量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jc w:val="left"/>
            </w:pPr>
            <w:r>
              <w:rPr>
                <w:rFonts w:ascii="仿宋_GB2312" w:hAnsi="仿宋_GB2312" w:cs="仿宋_GB2312" w:eastAsia="仿宋_GB2312"/>
                <w:sz w:val="24"/>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sz w:val="24"/>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标的名称：安全网等4种产品质量监督抽查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78"/>
              <w:gridCol w:w="120"/>
              <w:gridCol w:w="142"/>
              <w:gridCol w:w="100"/>
              <w:gridCol w:w="133"/>
              <w:gridCol w:w="159"/>
              <w:gridCol w:w="194"/>
              <w:gridCol w:w="1548"/>
            </w:tblGrid>
            <w:tr>
              <w:tc>
                <w:tcPr>
                  <w:tcW w:type="dxa" w:w="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w:t>
                  </w: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0.06</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47.6872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5725</w:t>
                  </w:r>
                  <w:r>
                    <w:rPr>
                      <w:rFonts w:ascii="仿宋_GB2312" w:hAnsi="仿宋_GB2312" w:cs="仿宋_GB2312" w:eastAsia="仿宋_GB2312"/>
                      <w:sz w:val="18"/>
                      <w:color w:val="000000"/>
                    </w:rPr>
                    <w:t>—</w:t>
                  </w:r>
                  <w:r>
                    <w:rPr>
                      <w:rFonts w:ascii="仿宋_GB2312" w:hAnsi="仿宋_GB2312" w:cs="仿宋_GB2312" w:eastAsia="仿宋_GB2312"/>
                      <w:sz w:val="18"/>
                      <w:color w:val="000000"/>
                    </w:rPr>
                    <w:t>2009 安全网：安全平网、安全立网：系绳间距及长度、筋绳间距、绳断裂强力-边绳、绳断裂强力-网绳、绳断裂强力-筋绳、耐冲击性能、阻燃性能、密目式安全立网:断裂强力</w:t>
                  </w:r>
                  <w:r>
                    <w:rPr>
                      <w:rFonts w:ascii="仿宋_GB2312" w:hAnsi="仿宋_GB2312" w:cs="仿宋_GB2312" w:eastAsia="仿宋_GB2312"/>
                      <w:sz w:val="18"/>
                      <w:color w:val="000000"/>
                    </w:rPr>
                    <w:t>×</w:t>
                  </w:r>
                  <w:r>
                    <w:rPr>
                      <w:rFonts w:ascii="仿宋_GB2312" w:hAnsi="仿宋_GB2312" w:cs="仿宋_GB2312" w:eastAsia="仿宋_GB2312"/>
                      <w:sz w:val="18"/>
                      <w:color w:val="000000"/>
                    </w:rPr>
                    <w:t>断裂伸长、梯形法撕裂强力、开眼环扣强力、耐贯穿性能、耐冲击性能、阻燃性能</w:t>
                  </w:r>
                </w:p>
              </w:tc>
            </w:tr>
            <w:tr>
              <w:tc>
                <w:tcPr>
                  <w:tcW w:type="dxa" w:w="75"/>
                  <w:vMerge/>
                  <w:tcBorders>
                    <w:top w:val="none" w:color="000000" w:sz="4"/>
                    <w:left w:val="single" w:color="000000" w:sz="4"/>
                    <w:bottom w:val="non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安全带</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0.06</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6095-2021 坠落防护  安全带：区域限制用安全带性能要求、围杆作业用安全带性能要求、坠落悬挂用安全带性能要求、安全带金属零部件耐腐蚀性能、系带静态强度</w:t>
                  </w:r>
                </w:p>
              </w:tc>
            </w:tr>
            <w:tr>
              <w:tc>
                <w:tcPr>
                  <w:tcW w:type="dxa" w:w="75"/>
                  <w:vMerge/>
                  <w:tcBorders>
                    <w:top w:val="none" w:color="000000" w:sz="4"/>
                    <w:left w:val="single" w:color="000000" w:sz="4"/>
                    <w:bottom w:val="non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非医用口罩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2626</w:t>
                  </w:r>
                  <w:r>
                    <w:rPr>
                      <w:rFonts w:ascii="仿宋_GB2312" w:hAnsi="仿宋_GB2312" w:cs="仿宋_GB2312" w:eastAsia="仿宋_GB2312"/>
                      <w:sz w:val="18"/>
                      <w:color w:val="000000"/>
                    </w:rPr>
                    <w:t>—</w:t>
                  </w:r>
                  <w:r>
                    <w:rPr>
                      <w:rFonts w:ascii="仿宋_GB2312" w:hAnsi="仿宋_GB2312" w:cs="仿宋_GB2312" w:eastAsia="仿宋_GB2312"/>
                      <w:sz w:val="18"/>
                      <w:color w:val="000000"/>
                    </w:rPr>
                    <w:t>2019 呼吸防护 自吸过滤式防颗粒物呼吸器；GB/T 32610</w:t>
                  </w:r>
                  <w:r>
                    <w:rPr>
                      <w:rFonts w:ascii="仿宋_GB2312" w:hAnsi="仿宋_GB2312" w:cs="仿宋_GB2312" w:eastAsia="仿宋_GB2312"/>
                      <w:sz w:val="18"/>
                      <w:color w:val="000000"/>
                    </w:rPr>
                    <w:t>—</w:t>
                  </w:r>
                  <w:r>
                    <w:rPr>
                      <w:rFonts w:ascii="仿宋_GB2312" w:hAnsi="仿宋_GB2312" w:cs="仿宋_GB2312" w:eastAsia="仿宋_GB2312"/>
                      <w:sz w:val="18"/>
                      <w:color w:val="000000"/>
                    </w:rPr>
                    <w:t>2016 日常防护型口罩技术规范；GB/T 38880</w:t>
                  </w:r>
                  <w:r>
                    <w:rPr>
                      <w:rFonts w:ascii="仿宋_GB2312" w:hAnsi="仿宋_GB2312" w:cs="仿宋_GB2312" w:eastAsia="仿宋_GB2312"/>
                      <w:sz w:val="18"/>
                      <w:color w:val="000000"/>
                    </w:rPr>
                    <w:t>—</w:t>
                  </w:r>
                  <w:r>
                    <w:rPr>
                      <w:rFonts w:ascii="仿宋_GB2312" w:hAnsi="仿宋_GB2312" w:cs="仿宋_GB2312" w:eastAsia="仿宋_GB2312"/>
                      <w:sz w:val="18"/>
                      <w:color w:val="000000"/>
                    </w:rPr>
                    <w:t>2020 儿童口罩技术规范：口罩（防颗粒物呼吸器）：过滤效率、呼吸阻力、呼气阀气密性、头带</w:t>
                  </w:r>
                  <w:r>
                    <w:br/>
                  </w:r>
                  <w:r>
                    <w:rPr>
                      <w:rFonts w:ascii="仿宋_GB2312" w:hAnsi="仿宋_GB2312" w:cs="仿宋_GB2312" w:eastAsia="仿宋_GB2312"/>
                      <w:sz w:val="18"/>
                      <w:color w:val="000000"/>
                    </w:rPr>
                    <w:t>日常防护型口罩：吸气阻力、呼气阻力、过滤效率、防护效果、口罩带及口罩带与口罩体的连接处断裂强力</w:t>
                  </w:r>
                  <w:r>
                    <w:br/>
                  </w:r>
                  <w:r>
                    <w:rPr>
                      <w:rFonts w:ascii="仿宋_GB2312" w:hAnsi="仿宋_GB2312" w:cs="仿宋_GB2312" w:eastAsia="仿宋_GB2312"/>
                      <w:sz w:val="18"/>
                      <w:color w:val="000000"/>
                    </w:rPr>
                    <w:t>儿童口罩：颗粒物过滤效率、吸气阻力、呼气阻力、通气阻力、口罩带及口罩带与口罩体的连接处断裂强力</w:t>
                  </w:r>
                  <w:r>
                    <w:br/>
                  </w:r>
                  <w:r>
                    <w:rPr>
                      <w:rFonts w:ascii="仿宋_GB2312" w:hAnsi="仿宋_GB2312" w:cs="仿宋_GB2312" w:eastAsia="仿宋_GB2312"/>
                      <w:sz w:val="18"/>
                      <w:color w:val="000000"/>
                    </w:rPr>
                    <w:t>其他非医用口罩：过滤效率</w:t>
                  </w:r>
                  <w:r>
                    <w:rPr>
                      <w:rFonts w:ascii="仿宋_GB2312" w:hAnsi="仿宋_GB2312" w:cs="仿宋_GB2312" w:eastAsia="仿宋_GB2312"/>
                      <w:sz w:val="18"/>
                      <w:color w:val="000000"/>
                    </w:rPr>
                    <w:t>/颗粒物过滤效率、呼吸阻力/吸气阻力/呼气阻力/通气阻力/压力差、头带/口罩带及口罩带与口罩体的连接处断裂强力</w:t>
                  </w:r>
                </w:p>
              </w:tc>
            </w:tr>
            <w:tr>
              <w:tc>
                <w:tcPr>
                  <w:tcW w:type="dxa" w:w="75"/>
                  <w:vMerge/>
                  <w:tcBorders>
                    <w:top w:val="none" w:color="000000" w:sz="4"/>
                    <w:left w:val="single" w:color="000000" w:sz="4"/>
                    <w:bottom w:val="none" w:color="000000" w:sz="4"/>
                    <w:right w:val="single" w:color="000000" w:sz="4"/>
                  </w:tcBorders>
                </w:tcPr>
                <w:p/>
              </w:tc>
              <w:tc>
                <w:tcPr>
                  <w:tcW w:type="dxa" w:w="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衡器</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0.03</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7722-2020《电子台案秤》：称量性能、除皮称量检验、偏载检验、鉴别力检验、重复性检验、蠕变检验、回零检验、倾斜、电快速瞬变脉冲群抗扰度试验、浪涌（冲击）抗扰度试验、静电放电抗扰度试验、</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供应商必须完成额定抽检批次数量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jc w:val="left"/>
            </w:pPr>
            <w:r>
              <w:rPr>
                <w:rFonts w:ascii="仿宋_GB2312" w:hAnsi="仿宋_GB2312" w:cs="仿宋_GB2312" w:eastAsia="仿宋_GB2312"/>
                <w:sz w:val="24"/>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sz w:val="24"/>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标的名称：移动电源等4种产品质量监督抽查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78"/>
              <w:gridCol w:w="120"/>
              <w:gridCol w:w="142"/>
              <w:gridCol w:w="100"/>
              <w:gridCol w:w="133"/>
              <w:gridCol w:w="159"/>
              <w:gridCol w:w="194"/>
              <w:gridCol w:w="1548"/>
            </w:tblGrid>
            <w:tr>
              <w:tc>
                <w:tcPr>
                  <w:tcW w:type="dxa" w:w="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2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00"/>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59"/>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48"/>
                  <w:vMerge/>
                  <w:tcBorders>
                    <w:top w:val="single" w:color="000000" w:sz="4"/>
                    <w:left w:val="none" w:color="000000" w:sz="4"/>
                    <w:bottom w:val="single" w:color="000000" w:sz="4"/>
                    <w:right w:val="single" w:color="000000" w:sz="4"/>
                  </w:tcBorders>
                </w:tcPr>
                <w:p/>
              </w:tc>
            </w:tr>
            <w:tr>
              <w:tc>
                <w:tcPr>
                  <w:tcW w:type="dxa" w:w="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w:t>
                  </w: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移动电源</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4943.1-2022；GB 31241-2022：热灼伤（接触温度限值）、模拟的异常工作条件、低气压、振动、加速度冲击、重物冲击、高温外部短路、挤压、热滥用</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电子产品用锂离子电池或电池组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0.45</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31241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2022：电池检验项目：样品容量测试，高温外部短路，过充电，重物冲击，热滥用，燃烧喷射</w:t>
                  </w:r>
                  <w:r>
                    <w:br/>
                  </w:r>
                  <w:r>
                    <w:rPr>
                      <w:rFonts w:ascii="仿宋_GB2312" w:hAnsi="仿宋_GB2312" w:cs="仿宋_GB2312" w:eastAsia="仿宋_GB2312"/>
                      <w:sz w:val="18"/>
                      <w:color w:val="000000"/>
                    </w:rPr>
                    <w:t>电池组检验项目：样品容量测试，高温使用，过压充电保护，过流充电保护，短路保护，过压充电，过流充电，外部短路</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户外电源</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2022；GB 31241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2022：电能量源的防护，电气间隙，爬电距离，抗电强度试验，断开连接器后电容器的放电（正常工作条件），保护连接系统的电阻，预期的接触电压、接触电流和保护导体电流，高温外部短路，振动，加速度冲击，跌落，挤压，重物冲击，热滥用，燃烧喷射</w:t>
                  </w:r>
                </w:p>
              </w:tc>
            </w:tr>
            <w:tr>
              <w:tc>
                <w:tcPr>
                  <w:tcW w:type="dxa" w:w="75"/>
                  <w:vMerge/>
                  <w:tcBorders>
                    <w:top w:val="none" w:color="000000" w:sz="4"/>
                    <w:left w:val="single" w:color="000000" w:sz="4"/>
                    <w:bottom w:val="single" w:color="000000" w:sz="4"/>
                    <w:right w:val="single" w:color="000000" w:sz="4"/>
                  </w:tcBorders>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儿童手表</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194"/>
                  <w:vMerge/>
                  <w:tcBorders>
                    <w:top w:val="none" w:color="000000" w:sz="4"/>
                    <w:left w:val="none" w:color="000000" w:sz="4"/>
                    <w:bottom w:val="single" w:color="000000" w:sz="4"/>
                    <w:right w:val="single" w:color="000000" w:sz="4"/>
                  </w:tcBorders>
                </w:tcP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4943.1-2022,GB/T 22450.1-2008 ,GB/T 19484.1-2013 ,YD/T 1595.1-2012 ,YD/T 1592.1-2012 ,YD/T 2583.14-</w:t>
                  </w:r>
                  <w:r>
                    <w:rPr>
                      <w:rFonts w:ascii="仿宋_GB2312" w:hAnsi="仿宋_GB2312" w:cs="仿宋_GB2312" w:eastAsia="仿宋_GB2312"/>
                      <w:sz w:val="18"/>
                      <w:color w:val="000000"/>
                    </w:rPr>
                    <w:t>2013 ,YD/T 2583.18-</w:t>
                  </w:r>
                  <w:r>
                    <w:rPr>
                      <w:rFonts w:ascii="仿宋_GB2312" w:hAnsi="仿宋_GB2312" w:cs="仿宋_GB2312" w:eastAsia="仿宋_GB2312"/>
                      <w:sz w:val="18"/>
                      <w:color w:val="000000"/>
                    </w:rPr>
                    <w:t>2024</w:t>
                  </w:r>
                  <w:r>
                    <w:rPr>
                      <w:rFonts w:ascii="仿宋_GB2312" w:hAnsi="仿宋_GB2312" w:cs="仿宋_GB2312" w:eastAsia="仿宋_GB2312"/>
                      <w:sz w:val="18"/>
                      <w:color w:val="000000"/>
                    </w:rPr>
                    <w:t>,YD/T 2583.18-2024,GB/T</w:t>
                  </w:r>
                  <w:r>
                    <w:rPr>
                      <w:rFonts w:ascii="仿宋_GB2312" w:hAnsi="仿宋_GB2312" w:cs="仿宋_GB2312" w:eastAsia="仿宋_GB2312"/>
                      <w:sz w:val="18"/>
                      <w:color w:val="000000"/>
                    </w:rPr>
                    <w:t xml:space="preserve"> 41411-2022：安全防护的强度，导体的固定，直接插入电网电源输出插座的设备，电能量源的防护，直接安装导电金属零部件的热塑性零部件，电气间隙，爬电距离，抗电强度试验，热灼伤（接触温度限值），辐射杂散骚扰，30MHz-1000MHz 辐射连续骚扰，防静电性能</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供应商必须完成额定抽检批次数量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jc w:val="left"/>
            </w:pPr>
            <w:r>
              <w:rPr>
                <w:rFonts w:ascii="仿宋_GB2312" w:hAnsi="仿宋_GB2312" w:cs="仿宋_GB2312" w:eastAsia="仿宋_GB2312"/>
                <w:sz w:val="24"/>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sz w:val="24"/>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所配备人员充足且专业能力满足采购需求，可保证本项目顺利实施。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本项目为定价招标，故投标文件内需填写报价的位置统一按照所投采购包与预算保持一致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本项目为定价招标，故投标文件内需填写报价的位置统一按照所投采购包与预算保持一致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本项目为定价招标，故投标文件内需填写报价的位置统一按照所投采购包与预算保持一致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本项目为定价招标，故投标文件内需填写报价的位置统一按照所投采购包与预算保持一致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以采购文件及合同约定为准。验收依据：合同文本，招标文件，招标响应文件，供应商所出具的检验报告满足国家或行业规范执行标准。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 《中华人民共和国民法典》中的相关条款执行。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在领取中标通知书前，须向采购代理机构提供纸质版投标文件2套（1正1副），电子版2套，且提供的投标文件必须与在陕西省政府采购综合管理平台的项目电子化交易系统中提交的电子投标文件内容一致，纸质版投标文件必须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（一包）资格证明文件.docx 中小企业声明函 商务应答表 投标人应提交的相关资格证明材料 主要人员简历表.docx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主要人员简历表.docx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（三包）汽车用制动器衬片等18种产品质量监督抽查响应表.xlsx （三包）资格证明文件.docx 主要人员简历表.docx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（四包）资格证明文件.docx 开标一览表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（四包）资格证明文件.docx 开标一览表 业绩一览表.docx 服务内容及服务邀请应答表 中小企业声明函 商务应答表 投标人应提交的相关资格证明材料 主要人员简历表.docx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（四包）资格证明文件.docx 开标一览表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具有有效期内的《检验检测机构资质认定证书》</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（一包）资格证明文件.docx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（一包）资格证明文件.docx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具有有效期内的《检验检测机构资质认定证书》</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（二包）资格证明文件.docx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服务内容及服务邀请应答表 （二包）资格证明文件.docx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具有有效期内的《检验检测机构资质认定证书》</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（三包）资格证明文件.docx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（三包）资格证明文件.docx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具有有效期内的《检验检测机构资质认定证书》</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具有履行本合同所必需的设备和专业技术能力的书面声明；</w:t>
            </w:r>
          </w:p>
        </w:tc>
        <w:tc>
          <w:tcPr>
            <w:tcW w:type="dxa" w:w="1661"/>
          </w:tcPr>
          <w:p>
            <w:pPr>
              <w:pStyle w:val="null3"/>
            </w:pPr>
            <w:r>
              <w:rPr>
                <w:rFonts w:ascii="仿宋_GB2312" w:hAnsi="仿宋_GB2312" w:cs="仿宋_GB2312" w:eastAsia="仿宋_GB2312"/>
              </w:rPr>
              <w:t>（四包）资格证明文件.docx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（四包）资格证明文件.docx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（一包）资格证明文件.docx 中小企业声明函 商务应答表 投标人应提交的相关资格证明材料 主要人员简历表.docx 投标函 残疾人福利性单位声明函 服务方案 标的清单 （一包）汽车用制动器衬片等18种产品质量监督抽查响应表.xlsx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实际条款响应</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主要人员简历表.docx 投标函 残疾人福利性单位声明函 （二包）资格证明文件.docx 服务方案 标的清单 投标文件封面 （二包）汽车用制动器衬片等18种产品质量监督抽查响应表.xlsx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投标人应提交的相关资格证明材料 （三包）汽车用制动器衬片等18种产品质量监督抽查响应表.xlsx （三包）资格证明文件.docx 主要人员简历表.docx 投标函 残疾人福利性单位声明函 服务方案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（四包）资格证明文件.docx 开标一览表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完全响应招标文件要求</w:t>
            </w:r>
          </w:p>
        </w:tc>
        <w:tc>
          <w:tcPr>
            <w:tcW w:type="dxa" w:w="1661"/>
          </w:tcPr>
          <w:p>
            <w:pPr>
              <w:pStyle w:val="null3"/>
            </w:pPr>
            <w:r>
              <w:rPr>
                <w:rFonts w:ascii="仿宋_GB2312" w:hAnsi="仿宋_GB2312" w:cs="仿宋_GB2312" w:eastAsia="仿宋_GB2312"/>
              </w:rPr>
              <w:t>（四包）资格证明文件.docx 业绩一览表.docx 服务内容及服务邀请应答表 中小企业声明函 商务应答表 投标人应提交的相关资格证明材料 主要人员简历表.docx 投标函 残疾人福利性单位声明函 服务方案 标的清单 投标文件封面 （四包）汽车用制动器衬片等18种产品质量监督抽查响应表.xlsx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总抽检批次得分=品目1总抽检批次得分×15%+品目2总抽检批次得分×15%+品目3总抽检批次得分×20%+品目4总抽检批次得分×15%+品目5总抽检批次得分×20%+品目6总抽检批次得分×15% 品目1抽检批次得分：P=10×Pn/Pmax 品目2抽检批次得分：P=10×Pn/Pmax 品目3抽检批次得分：P=10×Pn/Pmax 品目4抽检批次得分：P=10×Pn/Pmax 品目5抽检批次得分：P=10×Pn/Pmax 品目6抽检批次得分：P=10×Pn/Pmax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详见附件：（一包）汽车用制动器衬片等18种产品质量监督抽查响应表.xlsx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详见附件：（一包）资格证明文件.docx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详见附件：（二包）汽车用制动器衬片等18种产品质量监督抽查响应表.xlsx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详见附件：（二包）资格证明文件.docx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详见附件：（三包）汽车用制动器衬片等18种产品质量监督抽查响应表.xlsx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详见附件：（三包）资格证明文件.docx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详见附件：（四包）汽车用制动器衬片等18种产品质量监督抽查响应表.xlsx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详见附件：（四包）资格证明文件.docx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