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版本号：SCZD2026-ZB-0718-00120260403002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经颅磁刺激仪采购项目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SCZD2026-ZB-0718-001</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经颅磁刺激仪采购项目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SCZD2026-ZB-0718-001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经颅磁刺激仪采购项目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陕西中医药大学第二附属医院经颅磁刺激仪采购项目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投标人参加本项目的合法授权人授权委托书：投标人参加本项目的合法授权人授权委托书；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养老保险缴纳证明）；</w:t>
      </w:r>
    </w:p>
    <w:p>
      <w:pPr>
        <w:pStyle w:val="null3"/>
      </w:pPr>
      <w:r>
        <w:rPr>
          <w:rFonts w:ascii="仿宋_GB2312" w:hAnsi="仿宋_GB2312" w:cs="仿宋_GB2312" w:eastAsia="仿宋_GB2312"/>
        </w:rPr>
        <w:t>3、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w:t>
      </w:r>
    </w:p>
    <w:p>
      <w:pPr>
        <w:pStyle w:val="null3"/>
      </w:pPr>
      <w:r>
        <w:rPr>
          <w:rFonts w:ascii="仿宋_GB2312" w:hAnsi="仿宋_GB2312" w:cs="仿宋_GB2312" w:eastAsia="仿宋_GB2312"/>
        </w:rPr>
        <w:t>4、投标产品属于医疗器械管理范围的须提供医疗器械注册证：投标产品属于医疗器械管理范围的须提供医疗器械注册证。</w:t>
      </w:r>
    </w:p>
    <w:p>
      <w:pPr>
        <w:pStyle w:val="null3"/>
      </w:pPr>
      <w:r>
        <w:rPr>
          <w:rFonts w:ascii="仿宋_GB2312" w:hAnsi="仿宋_GB2312" w:cs="仿宋_GB2312" w:eastAsia="仿宋_GB2312"/>
        </w:rPr>
        <w:t>5、投标人不得存在下列情形之一： （1）单位负责人为同一人或者存在直接控股、管理关系的不同供应商，不得参加同一合同项下的政府采购活动； （2）为本项目提供整体设计、规范编制或者项目管理、监理、检测等服务的投标人，不得再参加该采购项目的其他采购活动：投标人不得存在下列情形之一： （1）单位负责人为同一人或者存在直接控股、管理关系的不同供应商，不得参加同一合同项下的政府采购活动； （2）为本项目提供整体设计、规范编制或者项目管理、监理、检测等服务的投标人，不得再参加该采购项目的其他采购活动。</w:t>
      </w:r>
    </w:p>
    <w:p>
      <w:pPr>
        <w:pStyle w:val="null3"/>
      </w:pPr>
      <w:r>
        <w:rPr>
          <w:rFonts w:ascii="仿宋_GB2312" w:hAnsi="仿宋_GB2312" w:cs="仿宋_GB2312" w:eastAsia="仿宋_GB2312"/>
        </w:rPr>
        <w:t>6、已向采购代理机构获取招标文件：需向采购代理机构获取招标文件，未向采购代理机构获取招标文件的供应商均无资格参加投标。</w:t>
      </w:r>
    </w:p>
    <w:p>
      <w:pPr>
        <w:pStyle w:val="null3"/>
      </w:pPr>
      <w:r>
        <w:rPr>
          <w:rFonts w:ascii="仿宋_GB2312" w:hAnsi="仿宋_GB2312" w:cs="仿宋_GB2312" w:eastAsia="仿宋_GB2312"/>
        </w:rPr>
        <w:t>7、法律、行政法规规定的其他条件：不存在违反法律法规的情况</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西咸新区沣西新城龙台观路831号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罗琳、雷鹏、程燕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采购包1：825,900.00元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银行账号：102862459346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代理服务费收费标准：参照原国家计委计价格〔2002〕1980号文和国家发改委发改办价格〔2003〕857号文的计算方法按标准下浮50%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陕西中医药大学第二附属医院经颅磁刺激仪采购项目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825,900.00</w:t>
      </w:r>
    </w:p>
    <w:p>
      <w:pPr>
        <w:pStyle w:val="null3"/>
      </w:pPr>
      <w:r>
        <w:rPr>
          <w:rFonts w:ascii="仿宋_GB2312" w:hAnsi="仿宋_GB2312" w:cs="仿宋_GB2312" w:eastAsia="仿宋_GB2312"/>
        </w:rPr>
        <w:t>采购包最高限价（元）: 825,900.00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经颅磁刺激仪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825,900.00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标的名称：经颅磁刺激仪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jc w:val="both"/>
            </w:pPr>
            <w:r>
              <w:rPr>
                <w:rFonts w:ascii="仿宋_GB2312" w:hAnsi="仿宋_GB2312" w:cs="仿宋_GB2312" w:eastAsia="仿宋_GB2312"/>
                <w:sz w:val="24"/>
                <w:b/>
              </w:rPr>
              <w:t>一、</w:t>
            </w:r>
            <w:r>
              <w:rPr>
                <w:rFonts w:ascii="仿宋_GB2312" w:hAnsi="仿宋_GB2312" w:cs="仿宋_GB2312" w:eastAsia="仿宋_GB2312"/>
                <w:sz w:val="24"/>
                <w:b/>
              </w:rPr>
              <w:t>适用范围</w:t>
            </w:r>
          </w:p>
          <w:p>
            <w:pPr>
              <w:pStyle w:val="null3"/>
              <w:spacing w:before="120"/>
              <w:jc w:val="both"/>
            </w:pPr>
            <w:r>
              <w:rPr>
                <w:rFonts w:ascii="仿宋_GB2312" w:hAnsi="仿宋_GB2312" w:cs="仿宋_GB2312" w:eastAsia="仿宋_GB2312"/>
                <w:sz w:val="24"/>
              </w:rPr>
              <w:t>用于人体（含儿童）中枢神经刺激和外周神经刺激（含盆底刺激），对脑神经及神经损伤性疾病的辅助治疗，以及用于辅助治疗或改善失眠症状。还可用于神经电生理检查，康复科、精神科和神经科的运动神经功能评定及缺血性脑血管病、神经性疼痛、神经衰弱、认知障碍等疾病的辅助治疗。</w:t>
            </w:r>
          </w:p>
          <w:p>
            <w:pPr>
              <w:pStyle w:val="null3"/>
              <w:spacing w:before="120"/>
              <w:jc w:val="both"/>
            </w:pPr>
            <w:r>
              <w:rPr>
                <w:rFonts w:ascii="仿宋_GB2312" w:hAnsi="仿宋_GB2312" w:cs="仿宋_GB2312" w:eastAsia="仿宋_GB2312"/>
                <w:sz w:val="24"/>
                <w:b/>
              </w:rPr>
              <w:t>二、采购清单</w:t>
            </w:r>
          </w:p>
          <w:tbl>
            <w:tblPr>
              <w:tblBorders>
                <w:top w:val="none" w:color="000000" w:sz="4"/>
                <w:left w:val="none" w:color="000000" w:sz="4"/>
                <w:bottom w:val="none" w:color="000000" w:sz="4"/>
                <w:right w:val="none" w:color="000000" w:sz="4"/>
                <w:insideH w:val="none"/>
                <w:insideV w:val="none"/>
              </w:tblBorders>
            </w:tblPr>
            <w:tblGrid>
              <w:gridCol w:w="283"/>
              <w:gridCol w:w="992"/>
              <w:gridCol w:w="425"/>
            </w:tblGrid>
            <w:tr>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数量（台/套）</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经颅磁刺激仪</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bl>
          <w:p>
            <w:pPr>
              <w:pStyle w:val="null3"/>
              <w:jc w:val="both"/>
            </w:pPr>
            <w:r>
              <w:rPr>
                <w:rFonts w:ascii="仿宋_GB2312" w:hAnsi="仿宋_GB2312" w:cs="仿宋_GB2312" w:eastAsia="仿宋_GB2312"/>
                <w:sz w:val="24"/>
                <w:b/>
              </w:rPr>
              <w:t>三、设备参数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最大磁场强度</w:t>
            </w:r>
            <w:r>
              <w:rPr>
                <w:rFonts w:ascii="仿宋_GB2312" w:hAnsi="仿宋_GB2312" w:cs="仿宋_GB2312" w:eastAsia="仿宋_GB2312"/>
                <w:sz w:val="24"/>
              </w:rPr>
              <w:t>≥</w:t>
            </w:r>
            <w:r>
              <w:rPr>
                <w:rFonts w:ascii="仿宋_GB2312" w:hAnsi="仿宋_GB2312" w:cs="仿宋_GB2312" w:eastAsia="仿宋_GB2312"/>
                <w:sz w:val="24"/>
              </w:rPr>
              <w:t>8T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输出频率：0-</w:t>
            </w:r>
            <w:r>
              <w:rPr>
                <w:rFonts w:ascii="仿宋_GB2312" w:hAnsi="仿宋_GB2312" w:cs="仿宋_GB2312" w:eastAsia="仿宋_GB2312"/>
                <w:sz w:val="24"/>
              </w:rPr>
              <w:t>60</w:t>
            </w:r>
            <w:r>
              <w:rPr>
                <w:rFonts w:ascii="仿宋_GB2312" w:hAnsi="仿宋_GB2312" w:cs="仿宋_GB2312" w:eastAsia="仿宋_GB2312"/>
                <w:sz w:val="24"/>
              </w:rPr>
              <w:t>Hz可调</w:t>
            </w:r>
            <w:r>
              <w:rPr>
                <w:rFonts w:ascii="仿宋_GB2312" w:hAnsi="仿宋_GB2312" w:cs="仿宋_GB2312" w:eastAsia="仿宋_GB2312"/>
                <w:sz w:val="24"/>
              </w:rPr>
              <w:t>，最大刺激频率≥60Hz。</w:t>
            </w:r>
            <w:r>
              <w:rPr>
                <w:rFonts w:ascii="仿宋_GB2312" w:hAnsi="仿宋_GB2312" w:cs="仿宋_GB2312" w:eastAsia="仿宋_GB2312"/>
                <w:sz w:val="24"/>
              </w:rPr>
              <w:t>0-1Hz时，步进值为0.1Hz；1-</w:t>
            </w:r>
            <w:r>
              <w:rPr>
                <w:rFonts w:ascii="仿宋_GB2312" w:hAnsi="仿宋_GB2312" w:cs="仿宋_GB2312" w:eastAsia="仿宋_GB2312"/>
                <w:sz w:val="24"/>
              </w:rPr>
              <w:t>6</w:t>
            </w:r>
            <w:r>
              <w:rPr>
                <w:rFonts w:ascii="仿宋_GB2312" w:hAnsi="仿宋_GB2312" w:cs="仿宋_GB2312" w:eastAsia="仿宋_GB2312"/>
                <w:sz w:val="24"/>
              </w:rPr>
              <w:t>0Hz时，步进值为1</w:t>
            </w:r>
            <w:r>
              <w:rPr>
                <w:rFonts w:ascii="仿宋_GB2312" w:hAnsi="仿宋_GB2312" w:cs="仿宋_GB2312" w:eastAsia="仿宋_GB2312"/>
                <w:sz w:val="24"/>
              </w:rPr>
              <w:t>Hz</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脉冲宽度</w:t>
            </w:r>
            <w:r>
              <w:rPr>
                <w:rFonts w:ascii="仿宋_GB2312" w:hAnsi="仿宋_GB2312" w:cs="仿宋_GB2312" w:eastAsia="仿宋_GB2312"/>
                <w:sz w:val="24"/>
              </w:rPr>
              <w:t>：340us</w:t>
            </w:r>
            <w:r>
              <w:rPr>
                <w:rFonts w:ascii="仿宋_GB2312" w:hAnsi="仿宋_GB2312" w:cs="仿宋_GB2312" w:eastAsia="仿宋_GB2312"/>
                <w:sz w:val="24"/>
              </w:rPr>
              <w:t>±10%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磁感应强度最大变化率：30kT/S-220kT/S。</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脉冲上升时间：</w:t>
            </w:r>
            <w:r>
              <w:rPr>
                <w:rFonts w:ascii="仿宋_GB2312" w:hAnsi="仿宋_GB2312" w:cs="仿宋_GB2312" w:eastAsia="仿宋_GB2312"/>
                <w:sz w:val="24"/>
              </w:rPr>
              <w:t>30us-60us。</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冷却系统</w:t>
            </w:r>
            <w:r>
              <w:rPr>
                <w:rFonts w:ascii="仿宋_GB2312" w:hAnsi="仿宋_GB2312" w:cs="仿宋_GB2312" w:eastAsia="仿宋_GB2312"/>
                <w:sz w:val="24"/>
              </w:rPr>
              <w:t>：</w:t>
            </w:r>
            <w:r>
              <w:rPr>
                <w:rFonts w:ascii="仿宋_GB2312" w:hAnsi="仿宋_GB2312" w:cs="仿宋_GB2312" w:eastAsia="仿宋_GB2312"/>
                <w:sz w:val="24"/>
              </w:rPr>
              <w:t>液态内循环＋风冷双重冷却系统。</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刺激线圈温度≥4</w:t>
            </w:r>
            <w:r>
              <w:rPr>
                <w:rFonts w:ascii="仿宋_GB2312" w:hAnsi="仿宋_GB2312" w:cs="仿宋_GB2312" w:eastAsia="仿宋_GB2312"/>
                <w:sz w:val="24"/>
              </w:rPr>
              <w:t>1</w:t>
            </w:r>
            <w:r>
              <w:rPr>
                <w:rFonts w:ascii="仿宋_GB2312" w:hAnsi="仿宋_GB2312" w:cs="仿宋_GB2312" w:eastAsia="仿宋_GB2312"/>
                <w:sz w:val="24"/>
              </w:rPr>
              <w:t>℃，停机保护并显示停机故障原因；</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机身温度≥71℃，停机保护并显示停机故障原因；</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实时监控并显示流速状态，检测到流速过低，停机保护并显示停机故障原因。</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刺激模式</w:t>
            </w:r>
            <w:r>
              <w:rPr>
                <w:rFonts w:ascii="仿宋_GB2312" w:hAnsi="仿宋_GB2312" w:cs="仿宋_GB2312" w:eastAsia="仿宋_GB2312"/>
                <w:sz w:val="24"/>
              </w:rPr>
              <w:t>有</w:t>
            </w:r>
            <w:r>
              <w:rPr>
                <w:rFonts w:ascii="仿宋_GB2312" w:hAnsi="仿宋_GB2312" w:cs="仿宋_GB2312" w:eastAsia="仿宋_GB2312"/>
                <w:sz w:val="24"/>
              </w:rPr>
              <w:t>单刺激模式</w:t>
            </w:r>
            <w:r>
              <w:rPr>
                <w:rFonts w:ascii="仿宋_GB2312" w:hAnsi="仿宋_GB2312" w:cs="仿宋_GB2312" w:eastAsia="仿宋_GB2312"/>
                <w:sz w:val="24"/>
              </w:rPr>
              <w:t>sTMS</w:t>
            </w:r>
            <w:r>
              <w:rPr>
                <w:rFonts w:ascii="仿宋_GB2312" w:hAnsi="仿宋_GB2312" w:cs="仿宋_GB2312" w:eastAsia="仿宋_GB2312"/>
                <w:sz w:val="24"/>
              </w:rPr>
              <w:t>、</w:t>
            </w:r>
            <w:r>
              <w:rPr>
                <w:rFonts w:ascii="仿宋_GB2312" w:hAnsi="仿宋_GB2312" w:cs="仿宋_GB2312" w:eastAsia="仿宋_GB2312"/>
                <w:sz w:val="24"/>
              </w:rPr>
              <w:t>重复刺激模式rTMS</w:t>
            </w:r>
            <w:r>
              <w:rPr>
                <w:rFonts w:ascii="仿宋_GB2312" w:hAnsi="仿宋_GB2312" w:cs="仿宋_GB2312" w:eastAsia="仿宋_GB2312"/>
                <w:sz w:val="24"/>
              </w:rPr>
              <w:t>、</w:t>
            </w:r>
            <w:r>
              <w:rPr>
                <w:rFonts w:ascii="仿宋_GB2312" w:hAnsi="仿宋_GB2312" w:cs="仿宋_GB2312" w:eastAsia="仿宋_GB2312"/>
                <w:sz w:val="24"/>
              </w:rPr>
              <w:t>复合刺激模式（TBS）等多种</w:t>
            </w:r>
            <w:r>
              <w:rPr>
                <w:rFonts w:ascii="仿宋_GB2312" w:hAnsi="仿宋_GB2312" w:cs="仿宋_GB2312" w:eastAsia="仿宋_GB2312"/>
                <w:sz w:val="24"/>
              </w:rPr>
              <w:t>刺激模式</w:t>
            </w:r>
            <w:r>
              <w:rPr>
                <w:rFonts w:ascii="仿宋_GB2312" w:hAnsi="仿宋_GB2312" w:cs="仿宋_GB2312" w:eastAsia="仿宋_GB2312"/>
                <w:sz w:val="24"/>
              </w:rPr>
              <w:t>自由调整</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测量阈值时，线圈</w:t>
            </w:r>
            <w:r>
              <w:rPr>
                <w:rFonts w:ascii="仿宋_GB2312" w:hAnsi="仿宋_GB2312" w:cs="仿宋_GB2312" w:eastAsia="仿宋_GB2312"/>
                <w:sz w:val="24"/>
              </w:rPr>
              <w:t>拍</w:t>
            </w:r>
            <w:r>
              <w:rPr>
                <w:rFonts w:ascii="仿宋_GB2312" w:hAnsi="仿宋_GB2312" w:cs="仿宋_GB2312" w:eastAsia="仿宋_GB2312"/>
                <w:sz w:val="24"/>
              </w:rPr>
              <w:t>有控制按键，可单手调节强度和触发刺激，快速检测</w:t>
            </w:r>
            <w:r>
              <w:rPr>
                <w:rFonts w:ascii="仿宋_GB2312" w:hAnsi="仿宋_GB2312" w:cs="仿宋_GB2312" w:eastAsia="仿宋_GB2312"/>
                <w:sz w:val="24"/>
              </w:rPr>
              <w:t>运动阈值</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12、能实现双面双向刺激。</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具有电动吸液和电动排液功能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一体式可推移整机结构</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设置刺激强度、刺激频率、刺激时间、间歇时间、工作时间、重复周期</w:t>
            </w:r>
            <w:r>
              <w:rPr>
                <w:rFonts w:ascii="仿宋_GB2312" w:hAnsi="仿宋_GB2312" w:cs="仿宋_GB2312" w:eastAsia="仿宋_GB2312"/>
                <w:sz w:val="24"/>
              </w:rPr>
              <w:t>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包含专家电子处方</w:t>
            </w:r>
            <w:r>
              <w:rPr>
                <w:rFonts w:ascii="仿宋_GB2312" w:hAnsi="仿宋_GB2312" w:cs="仿宋_GB2312" w:eastAsia="仿宋_GB2312"/>
                <w:sz w:val="24"/>
              </w:rPr>
              <w:t>，</w:t>
            </w:r>
            <w:r>
              <w:rPr>
                <w:rFonts w:ascii="仿宋_GB2312" w:hAnsi="仿宋_GB2312" w:cs="仿宋_GB2312" w:eastAsia="仿宋_GB2312"/>
                <w:sz w:val="24"/>
              </w:rPr>
              <w:t>并</w:t>
            </w:r>
            <w:r>
              <w:rPr>
                <w:rFonts w:ascii="仿宋_GB2312" w:hAnsi="仿宋_GB2312" w:cs="仿宋_GB2312" w:eastAsia="仿宋_GB2312"/>
                <w:sz w:val="24"/>
              </w:rPr>
              <w:t>自带大脑解剖定位图及详细文字描述</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数据库管理功能，病例管理（可实现存储、查询、分析及管理）、打印功能（可自定义编辑，自动化输出）</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运动诱发电位监测模块技术指标</w:t>
            </w:r>
            <w:r>
              <w:rPr>
                <w:rFonts w:ascii="仿宋_GB2312" w:hAnsi="仿宋_GB2312" w:cs="仿宋_GB2312" w:eastAsia="仿宋_GB2312"/>
                <w:sz w:val="24"/>
              </w:rPr>
              <w:t>：</w:t>
            </w:r>
            <w:r>
              <w:rPr>
                <w:rFonts w:ascii="仿宋_GB2312" w:hAnsi="仿宋_GB2312" w:cs="仿宋_GB2312" w:eastAsia="仿宋_GB2312"/>
                <w:sz w:val="24"/>
              </w:rPr>
              <w:t>通道数：</w:t>
            </w:r>
            <w:r>
              <w:rPr>
                <w:rFonts w:ascii="仿宋_GB2312" w:hAnsi="仿宋_GB2312" w:cs="仿宋_GB2312" w:eastAsia="仿宋_GB2312"/>
                <w:sz w:val="24"/>
              </w:rPr>
              <w:t>≥</w:t>
            </w:r>
            <w:r>
              <w:rPr>
                <w:rFonts w:ascii="仿宋_GB2312" w:hAnsi="仿宋_GB2312" w:cs="仿宋_GB2312" w:eastAsia="仿宋_GB2312"/>
                <w:sz w:val="24"/>
              </w:rPr>
              <w:t>2通道；传输方式：有线</w:t>
            </w:r>
            <w:r>
              <w:rPr>
                <w:rFonts w:ascii="仿宋_GB2312" w:hAnsi="仿宋_GB2312" w:cs="仿宋_GB2312" w:eastAsia="仿宋_GB2312"/>
                <w:sz w:val="24"/>
              </w:rPr>
              <w:t>或无线</w:t>
            </w:r>
            <w:r>
              <w:rPr>
                <w:rFonts w:ascii="仿宋_GB2312" w:hAnsi="仿宋_GB2312" w:cs="仿宋_GB2312" w:eastAsia="仿宋_GB2312"/>
                <w:sz w:val="24"/>
              </w:rPr>
              <w:t>传输；采样率：</w:t>
            </w:r>
            <w:r>
              <w:rPr>
                <w:rFonts w:ascii="仿宋_GB2312" w:hAnsi="仿宋_GB2312" w:cs="仿宋_GB2312" w:eastAsia="仿宋_GB2312"/>
                <w:sz w:val="24"/>
              </w:rPr>
              <w:t>≥120</w:t>
            </w:r>
            <w:r>
              <w:rPr>
                <w:rFonts w:ascii="仿宋_GB2312" w:hAnsi="仿宋_GB2312" w:cs="仿宋_GB2312" w:eastAsia="仿宋_GB2312"/>
                <w:sz w:val="24"/>
              </w:rPr>
              <w:t>kHz；</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.设备使用年限≥</w:t>
            </w:r>
            <w:r>
              <w:rPr>
                <w:rFonts w:ascii="仿宋_GB2312" w:hAnsi="仿宋_GB2312" w:cs="仿宋_GB2312" w:eastAsia="仿宋_GB2312"/>
                <w:sz w:val="24"/>
              </w:rPr>
              <w:t>8</w:t>
            </w:r>
            <w:r>
              <w:rPr>
                <w:rFonts w:ascii="仿宋_GB2312" w:hAnsi="仿宋_GB2312" w:cs="仿宋_GB2312" w:eastAsia="仿宋_GB2312"/>
                <w:sz w:val="24"/>
              </w:rPr>
              <w:t>年。</w:t>
            </w:r>
            <w:r>
              <w:br/>
            </w:r>
            <w:r>
              <w:rPr>
                <w:rFonts w:ascii="仿宋_GB2312" w:hAnsi="仿宋_GB2312" w:cs="仿宋_GB2312" w:eastAsia="仿宋_GB2312"/>
                <w:sz w:val="24"/>
              </w:rPr>
              <w:t>四、</w:t>
            </w:r>
            <w:r>
              <w:rPr>
                <w:rFonts w:ascii="仿宋_GB2312" w:hAnsi="仿宋_GB2312" w:cs="仿宋_GB2312" w:eastAsia="仿宋_GB2312"/>
                <w:sz w:val="24"/>
                <w:b/>
              </w:rPr>
              <w:t>配置要求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主机</w:t>
            </w:r>
            <w:r>
              <w:rPr>
                <w:rFonts w:ascii="仿宋_GB2312" w:hAnsi="仿宋_GB2312" w:cs="仿宋_GB2312" w:eastAsia="仿宋_GB2312"/>
                <w:sz w:val="24"/>
              </w:rPr>
              <w:t>、</w:t>
            </w:r>
            <w:r>
              <w:rPr>
                <w:rFonts w:ascii="仿宋_GB2312" w:hAnsi="仿宋_GB2312" w:cs="仿宋_GB2312" w:eastAsia="仿宋_GB2312"/>
                <w:sz w:val="24"/>
              </w:rPr>
              <w:t>控制软件、</w:t>
            </w:r>
            <w:r>
              <w:rPr>
                <w:rFonts w:ascii="仿宋_GB2312" w:hAnsi="仿宋_GB2312" w:cs="仿宋_GB2312" w:eastAsia="仿宋_GB2312"/>
                <w:sz w:val="24"/>
              </w:rPr>
              <w:t>MEP模块</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附带</w:t>
            </w:r>
            <w:r>
              <w:rPr>
                <w:rFonts w:ascii="仿宋_GB2312" w:hAnsi="仿宋_GB2312" w:cs="仿宋_GB2312" w:eastAsia="仿宋_GB2312"/>
                <w:sz w:val="24"/>
              </w:rPr>
              <w:t>定位帽</w:t>
            </w:r>
            <w:r>
              <w:rPr>
                <w:rFonts w:ascii="仿宋_GB2312" w:hAnsi="仿宋_GB2312" w:cs="仿宋_GB2312" w:eastAsia="仿宋_GB2312"/>
                <w:sz w:val="24"/>
              </w:rPr>
              <w:t>≥5顶；</w:t>
            </w:r>
            <w:r>
              <w:rPr>
                <w:rFonts w:ascii="仿宋_GB2312" w:hAnsi="仿宋_GB2312" w:cs="仿宋_GB2312" w:eastAsia="仿宋_GB2312"/>
                <w:sz w:val="24"/>
              </w:rPr>
              <w:t>刺激线圈</w:t>
            </w:r>
            <w:r>
              <w:rPr>
                <w:rFonts w:ascii="仿宋_GB2312" w:hAnsi="仿宋_GB2312" w:cs="仿宋_GB2312" w:eastAsia="仿宋_GB2312"/>
                <w:sz w:val="24"/>
              </w:rPr>
              <w:t>≥4副</w:t>
            </w:r>
            <w:r>
              <w:rPr>
                <w:rFonts w:ascii="仿宋_GB2312" w:hAnsi="仿宋_GB2312" w:cs="仿宋_GB2312" w:eastAsia="仿宋_GB2312"/>
                <w:sz w:val="24"/>
              </w:rPr>
              <w:t>；</w:t>
            </w:r>
            <w:r>
              <w:rPr>
                <w:rFonts w:ascii="仿宋_GB2312" w:hAnsi="仿宋_GB2312" w:cs="仿宋_GB2312" w:eastAsia="仿宋_GB2312"/>
                <w:sz w:val="24"/>
              </w:rPr>
              <w:t>线圈支架≥1套；</w:t>
            </w:r>
          </w:p>
          <w:p>
            <w:pPr>
              <w:pStyle w:val="null3"/>
              <w:jc w:val="both"/>
            </w:pPr>
            <w:r>
              <w:rPr>
                <w:rFonts w:ascii="仿宋_GB2312" w:hAnsi="仿宋_GB2312" w:cs="仿宋_GB2312" w:eastAsia="仿宋_GB2312"/>
                <w:sz w:val="24"/>
              </w:rPr>
              <w:t>3、随动支架及配套沙发1套。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合同签订接采购人通知后30个日历日内。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陕西中医药大学第二附属医院指定地点。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货到安装调试验收合格办理入库后，乙方于 3 个工作日内持全额正式税务发票向甲方提出支付全部货款的65 %的申请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设备办理入库并正常运行3个月后，乙方提供的商品无故障等各种情况发生</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全部货款的5 %，将于设备正常运转1年后，乙方就合同约定义务全部履行完毕后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异常低价审查 1评审中出现下列情形之一的，评标委员会应当启动异常低价投标审查程序：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投标人提交的相关说明和证明材料，应当加盖投标人（法定名称）电子印章，在评标委员会要求的时间内通过项目电子化交易系统进行提交，否则提交的相关证明材料无效。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投标人参加本项目的合法授权人授权委托书</w:t>
            </w:r>
          </w:p>
        </w:tc>
        <w:tc>
          <w:tcPr>
            <w:tcW w:type="dxa" w:w="3322"/>
          </w:tcPr>
          <w:p>
            <w:pPr>
              <w:pStyle w:val="null3"/>
            </w:pPr>
            <w:r>
              <w:rPr>
                <w:rFonts w:ascii="仿宋_GB2312" w:hAnsi="仿宋_GB2312" w:cs="仿宋_GB2312" w:eastAsia="仿宋_GB2312"/>
              </w:rPr>
              <w:t>投标人参加本项目的合法授权人授权委托书；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w:t>
            </w:r>
          </w:p>
        </w:tc>
        <w:tc>
          <w:tcPr>
            <w:tcW w:type="dxa" w:w="3322"/>
          </w:tcPr>
          <w:p>
            <w:pPr>
              <w:pStyle w:val="null3"/>
            </w:pPr>
            <w:r>
              <w:rPr>
                <w:rFonts w:ascii="仿宋_GB2312" w:hAnsi="仿宋_GB2312" w:cs="仿宋_GB2312" w:eastAsia="仿宋_GB2312"/>
              </w:rPr>
              <w:t>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投标产品属于医疗器械管理范围的须提供医疗器械注册证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投标人不得存在下列情形之一： （1）单位负责人为同一人或者存在直接控股、管理关系的不同供应商，不得参加同一合同项下的政府采购活动； （2）为本项目提供整体设计、规范编制或者项目管理、监理、检测等服务的投标人，不得再参加该采购项目的其他采购活动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（1）单位负责人为同一人或者存在直接控股、管理关系的不同供应商，不得参加同一合同项下的政府采购活动； （2）为本项目提供整体设计、规范编制或者项目管理、监理、检测等服务的投标人，不得再参加该采购项目的其他采购活动。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已向采购代理机构获取招标文件</w:t>
            </w:r>
          </w:p>
        </w:tc>
        <w:tc>
          <w:tcPr>
            <w:tcW w:type="dxa" w:w="3322"/>
          </w:tcPr>
          <w:p>
            <w:pPr>
              <w:pStyle w:val="null3"/>
            </w:pPr>
            <w:r>
              <w:rPr>
                <w:rFonts w:ascii="仿宋_GB2312" w:hAnsi="仿宋_GB2312" w:cs="仿宋_GB2312" w:eastAsia="仿宋_GB2312"/>
              </w:rPr>
              <w:t>需向采购代理机构获取招标文件，未向采购代理机构获取招标文件的供应商均无资格参加投标。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 2.异常低价审查 2.1评审中出现下列情形之一的，评标委员会应当启动异常低价投标审查程序： （1）投标报价低于采购项目最高限价45%的，即投标报价&lt;采购项目最高限价×45%； （2）评标委员会基于专业判断，认为供应商报价过低，有可能影响产品质量或者不能诚信履约的其他情形。 相关法律法规对供应商报价有规定的，从其规定。 2.2评标委员会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投标人提交的相关说明和证明材料，应当加盖投标人（法定名称）电子印章，在评标委员会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投标分项报价表.docx 投标方案.docx 投标函 封面及目录.docx 标的清单 投标人参加政府采购活动承诺书.docx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投标分项报价表.docx 投标方案.docx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投标分项报价表.docx 投标方案.docx 关于符合本国产品标准的声明函.docx 投标函 中小企业声明函 残疾人福利性单位声明函 封面及目录.docx 标的清单 投标人参加政府采购活动承诺书.docx 节能产品、环境标志产品明细表.docx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投标分项报价表.docx 投标方案.docx 关于符合本国产品标准的声明函.docx 投标函 中小企业声明函 残疾人福利性单位声明函 封面及目录.docx 标的清单 投标人参加政府采购活动承诺书.docx 节能产品、环境标志产品明细表.docx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号）要求提供国家确定的认证机构出具的、处于有效期之内的节能产品或环境标志产品认证证书，每提供一个得0.25分，满分2分。政府强制采购产品不予加分。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投标产品技术指标评审内容（31分） 投标产品的技术指标评审：完全响应得35分。“▲”号技术参数一项不满足扣3分，非“▲”号技术指标参数一项不满足扣2分，扣完为止。 评审依据：按照技术参数要求提供相应的证明文件（包括不限于检测报告、技术白皮书、厂家产品说明等），在技术偏离表“说明”栏中标明证明材料的页码；无技术材料支持视为负偏离。 技术指标中“★”类为核心指标，如发生负偏离视为非实质性响应，其投标将被认定为无效投标。</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评审，该方案包含：①供货方案；②安装调试方案；③技术支持方案；④验收方案。提供的上述4项内容完整可行得16分；每有一项未提供扣4分，扣完为止；每有一处有缺陷扣2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售后服务方案进行评审，该方案包含：①售后服务范围及保障措施；②培训方案；③故障处理及补救措施；④备品配件服务承诺。提供的上述4项内容完整可行得16分；每有一项未提供扣4分，扣完为止；每有一处有缺陷扣2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提供自2023年1月1日起至投标截止时间止（以合同签订时间为准）所投产品的业绩。提供一个有效业绩得1分，满分5分。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 （小微企业、监狱企业或残疾人福利性单位用投标报价扣除后的价格参加评审。专门面向中小企业采购的项目不进行价格扣除。） （政府采购货物项目和服务项目中涉及的货物，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（异常低价审查 1评审中出现下列情形之一的，评标委员会应当启动异常低价投标审查程序：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投标人提交的相关说明和证明材料，应当加盖投标人（法定名称）电子印章，在评标委员会要求的时间内通过项目电子化交易系统进行提交，否则提交的相关证明材料无效。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