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版本号：【KRDL】K5-251013720260410001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模拟电路综合实验平台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【KRDL】K5-2510137</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模拟电路综合实验平台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【KRDL】K5-2510137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模拟电路综合实验平台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本项目拟采购模拟电路综合实验平台1套，以满足“模拟电子技术实验”、“电子技术（上）实验”和“电路与电子技术实验”等课程。</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6、授权委托书：投标人应授权合法的人员参加本项目招标活动全过程；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俞博洋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中标人应当在中标通知书领取后五个工作日内将项目履约保证金(合同总金额的5%)缴纳至招标人，未按照招标文件要求按时足额缴纳履约保证金的，招标人将取消中标人中标资格，且无需承担任何责任。合同约定事宜完成，验收合格后，无息退还履约保证金。注:转账请注明用途</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和国家发展和改革委员会办公厅颁发的《关于招标代理服务收费有关问题的通知》（发改办价格[2003] 857号）的标准的70%计取，向采购代理机构一次付清招标代理服务费。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联系人：王森、于珂欣</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本项目拟采购模拟电路综合实践创新平台1套，以满足“模拟电子技术实验”、“电子技术（上）实验”和“电路与电子技术实验”等课程。</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模拟电路综合实验平台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标的名称：模拟电路综合实验平台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jc w:val="center"/>
                  </w:pPr>
                  <w:r>
                    <w:rPr>
                      <w:rFonts w:ascii="仿宋_GB2312" w:hAnsi="仿宋_GB2312" w:cs="仿宋_GB2312" w:eastAsia="仿宋_GB2312"/>
                    </w:rPr>
                    <w:t>序号</w:t>
                  </w:r>
                </w:p>
              </w:tc>
              <w:tc>
                <w:tcPr>
                  <w:tcW w:type="dxa" w:w="511"/>
                </w:tcPr>
                <w:p>
                  <w:pPr>
                    <w:pStyle w:val="null3"/>
                    <w:jc w:val="center"/>
                  </w:pPr>
                  <w:r>
                    <w:rPr>
                      <w:rFonts w:ascii="仿宋_GB2312" w:hAnsi="仿宋_GB2312" w:cs="仿宋_GB2312" w:eastAsia="仿宋_GB2312"/>
                    </w:rPr>
                    <w:t>货物名称</w:t>
                  </w:r>
                </w:p>
              </w:tc>
              <w:tc>
                <w:tcPr>
                  <w:tcW w:type="dxa" w:w="511"/>
                </w:tcPr>
                <w:p>
                  <w:pPr>
                    <w:pStyle w:val="null3"/>
                    <w:jc w:val="center"/>
                  </w:pPr>
                  <w:r>
                    <w:rPr>
                      <w:rFonts w:ascii="仿宋_GB2312" w:hAnsi="仿宋_GB2312" w:cs="仿宋_GB2312" w:eastAsia="仿宋_GB2312"/>
                    </w:rPr>
                    <w:t>节点数</w:t>
                  </w:r>
                </w:p>
              </w:tc>
              <w:tc>
                <w:tcPr>
                  <w:tcW w:type="dxa" w:w="511"/>
                </w:tcPr>
                <w:p>
                  <w:pPr>
                    <w:pStyle w:val="null3"/>
                    <w:jc w:val="center"/>
                  </w:pPr>
                  <w:r>
                    <w:rPr>
                      <w:rFonts w:ascii="仿宋_GB2312" w:hAnsi="仿宋_GB2312" w:cs="仿宋_GB2312" w:eastAsia="仿宋_GB2312"/>
                    </w:rPr>
                    <w:t>数量/节点</w:t>
                  </w:r>
                </w:p>
              </w:tc>
              <w:tc>
                <w:tcPr>
                  <w:tcW w:type="dxa" w:w="511"/>
                </w:tcPr>
                <w:p>
                  <w:pPr>
                    <w:pStyle w:val="null3"/>
                    <w:jc w:val="center"/>
                  </w:pPr>
                  <w:r>
                    <w:rPr>
                      <w:rFonts w:ascii="仿宋_GB2312" w:hAnsi="仿宋_GB2312" w:cs="仿宋_GB2312" w:eastAsia="仿宋_GB2312"/>
                    </w:rPr>
                    <w:t>总套数</w:t>
                  </w:r>
                </w:p>
              </w:tc>
            </w:tr>
            <w:tr>
              <w:tc>
                <w:tcPr>
                  <w:tcW w:type="dxa" w:w="511"/>
                </w:tcPr>
                <w:p>
                  <w:pPr>
                    <w:pStyle w:val="null3"/>
                    <w:jc w:val="center"/>
                  </w:pPr>
                  <w:r>
                    <w:rPr>
                      <w:rFonts w:ascii="仿宋_GB2312" w:hAnsi="仿宋_GB2312" w:cs="仿宋_GB2312" w:eastAsia="仿宋_GB2312"/>
                    </w:rPr>
                    <w:t>1</w:t>
                  </w:r>
                </w:p>
              </w:tc>
              <w:tc>
                <w:tcPr>
                  <w:tcW w:type="dxa" w:w="511"/>
                </w:tcPr>
                <w:p>
                  <w:pPr>
                    <w:pStyle w:val="null3"/>
                    <w:jc w:val="center"/>
                  </w:pPr>
                  <w:r>
                    <w:rPr>
                      <w:rFonts w:ascii="仿宋_GB2312" w:hAnsi="仿宋_GB2312" w:cs="仿宋_GB2312" w:eastAsia="仿宋_GB2312"/>
                    </w:rPr>
                    <w:t>模拟电路综合实验模块</w:t>
                  </w:r>
                </w:p>
                <w:p>
                  <w:pPr>
                    <w:pStyle w:val="null3"/>
                    <w:jc w:val="center"/>
                  </w:pPr>
                  <w:r>
                    <w:rPr>
                      <w:rFonts w:ascii="仿宋_GB2312" w:hAnsi="仿宋_GB2312" w:cs="仿宋_GB2312" w:eastAsia="仿宋_GB2312"/>
                    </w:rPr>
                    <w:t>【核心产品】</w:t>
                  </w:r>
                </w:p>
              </w:tc>
              <w:tc>
                <w:tcPr>
                  <w:tcW w:type="dxa" w:w="511"/>
                </w:tcPr>
                <w:p>
                  <w:pPr>
                    <w:pStyle w:val="null3"/>
                    <w:jc w:val="center"/>
                  </w:pPr>
                  <w:r>
                    <w:rPr>
                      <w:rFonts w:ascii="仿宋_GB2312" w:hAnsi="仿宋_GB2312" w:cs="仿宋_GB2312" w:eastAsia="仿宋_GB2312"/>
                    </w:rPr>
                    <w:t>32</w:t>
                  </w:r>
                </w:p>
              </w:tc>
              <w:tc>
                <w:tcPr>
                  <w:tcW w:type="dxa" w:w="511"/>
                </w:tcPr>
                <w:p>
                  <w:pPr>
                    <w:pStyle w:val="null3"/>
                    <w:jc w:val="center"/>
                  </w:pPr>
                  <w:r>
                    <w:rPr>
                      <w:rFonts w:ascii="仿宋_GB2312" w:hAnsi="仿宋_GB2312" w:cs="仿宋_GB2312" w:eastAsia="仿宋_GB2312"/>
                    </w:rPr>
                    <w:t>2</w:t>
                  </w:r>
                </w:p>
              </w:tc>
              <w:tc>
                <w:tcPr>
                  <w:tcW w:type="dxa" w:w="511"/>
                </w:tcPr>
                <w:p>
                  <w:pPr>
                    <w:pStyle w:val="null3"/>
                    <w:jc w:val="center"/>
                  </w:pPr>
                  <w:r>
                    <w:rPr>
                      <w:rFonts w:ascii="仿宋_GB2312" w:hAnsi="仿宋_GB2312" w:cs="仿宋_GB2312" w:eastAsia="仿宋_GB2312"/>
                    </w:rPr>
                    <w:t>64</w:t>
                  </w:r>
                </w:p>
              </w:tc>
            </w:tr>
            <w:tr>
              <w:tc>
                <w:tcPr>
                  <w:tcW w:type="dxa" w:w="511"/>
                </w:tcPr>
                <w:p>
                  <w:pPr>
                    <w:pStyle w:val="null3"/>
                    <w:jc w:val="center"/>
                  </w:pPr>
                  <w:r>
                    <w:rPr>
                      <w:rFonts w:ascii="仿宋_GB2312" w:hAnsi="仿宋_GB2312" w:cs="仿宋_GB2312" w:eastAsia="仿宋_GB2312"/>
                    </w:rPr>
                    <w:t>2</w:t>
                  </w:r>
                </w:p>
              </w:tc>
              <w:tc>
                <w:tcPr>
                  <w:tcW w:type="dxa" w:w="511"/>
                </w:tcPr>
                <w:p>
                  <w:pPr>
                    <w:pStyle w:val="null3"/>
                    <w:jc w:val="center"/>
                  </w:pPr>
                  <w:r>
                    <w:rPr>
                      <w:rFonts w:ascii="仿宋_GB2312" w:hAnsi="仿宋_GB2312" w:cs="仿宋_GB2312" w:eastAsia="仿宋_GB2312"/>
                    </w:rPr>
                    <w:t>波形显示和测量模块</w:t>
                  </w:r>
                </w:p>
              </w:tc>
              <w:tc>
                <w:tcPr>
                  <w:tcW w:type="dxa" w:w="511"/>
                </w:tcPr>
                <w:p>
                  <w:pPr>
                    <w:pStyle w:val="null3"/>
                    <w:jc w:val="center"/>
                  </w:pPr>
                  <w:r>
                    <w:rPr>
                      <w:rFonts w:ascii="仿宋_GB2312" w:hAnsi="仿宋_GB2312" w:cs="仿宋_GB2312" w:eastAsia="仿宋_GB2312"/>
                    </w:rPr>
                    <w:t>32</w:t>
                  </w:r>
                </w:p>
              </w:tc>
              <w:tc>
                <w:tcPr>
                  <w:tcW w:type="dxa" w:w="511"/>
                </w:tcPr>
                <w:p>
                  <w:pPr>
                    <w:pStyle w:val="null3"/>
                    <w:jc w:val="center"/>
                  </w:pPr>
                  <w:r>
                    <w:rPr>
                      <w:rFonts w:ascii="仿宋_GB2312" w:hAnsi="仿宋_GB2312" w:cs="仿宋_GB2312" w:eastAsia="仿宋_GB2312"/>
                    </w:rPr>
                    <w:t>1</w:t>
                  </w:r>
                </w:p>
              </w:tc>
              <w:tc>
                <w:tcPr>
                  <w:tcW w:type="dxa" w:w="511"/>
                </w:tcPr>
                <w:p>
                  <w:pPr>
                    <w:pStyle w:val="null3"/>
                    <w:jc w:val="center"/>
                  </w:pPr>
                  <w:r>
                    <w:rPr>
                      <w:rFonts w:ascii="仿宋_GB2312" w:hAnsi="仿宋_GB2312" w:cs="仿宋_GB2312" w:eastAsia="仿宋_GB2312"/>
                    </w:rPr>
                    <w:t>32</w:t>
                  </w:r>
                </w:p>
              </w:tc>
            </w:tr>
            <w:tr>
              <w:tc>
                <w:tcPr>
                  <w:tcW w:type="dxa" w:w="511"/>
                </w:tcPr>
                <w:p>
                  <w:pPr>
                    <w:pStyle w:val="null3"/>
                    <w:jc w:val="center"/>
                  </w:pPr>
                  <w:r>
                    <w:rPr>
                      <w:rFonts w:ascii="仿宋_GB2312" w:hAnsi="仿宋_GB2312" w:cs="仿宋_GB2312" w:eastAsia="仿宋_GB2312"/>
                    </w:rPr>
                    <w:t>3</w:t>
                  </w:r>
                </w:p>
              </w:tc>
              <w:tc>
                <w:tcPr>
                  <w:tcW w:type="dxa" w:w="511"/>
                </w:tcPr>
                <w:p>
                  <w:pPr>
                    <w:pStyle w:val="null3"/>
                    <w:jc w:val="center"/>
                  </w:pPr>
                  <w:r>
                    <w:rPr>
                      <w:rFonts w:ascii="仿宋_GB2312" w:hAnsi="仿宋_GB2312" w:cs="仿宋_GB2312" w:eastAsia="仿宋_GB2312"/>
                    </w:rPr>
                    <w:t>波形发生模块</w:t>
                  </w:r>
                </w:p>
              </w:tc>
              <w:tc>
                <w:tcPr>
                  <w:tcW w:type="dxa" w:w="511"/>
                </w:tcPr>
                <w:p>
                  <w:pPr>
                    <w:pStyle w:val="null3"/>
                    <w:jc w:val="center"/>
                  </w:pPr>
                  <w:r>
                    <w:rPr>
                      <w:rFonts w:ascii="仿宋_GB2312" w:hAnsi="仿宋_GB2312" w:cs="仿宋_GB2312" w:eastAsia="仿宋_GB2312"/>
                    </w:rPr>
                    <w:t>32</w:t>
                  </w:r>
                </w:p>
              </w:tc>
              <w:tc>
                <w:tcPr>
                  <w:tcW w:type="dxa" w:w="511"/>
                </w:tcPr>
                <w:p>
                  <w:pPr>
                    <w:pStyle w:val="null3"/>
                    <w:jc w:val="center"/>
                  </w:pPr>
                  <w:r>
                    <w:rPr>
                      <w:rFonts w:ascii="仿宋_GB2312" w:hAnsi="仿宋_GB2312" w:cs="仿宋_GB2312" w:eastAsia="仿宋_GB2312"/>
                    </w:rPr>
                    <w:t>1</w:t>
                  </w:r>
                </w:p>
              </w:tc>
              <w:tc>
                <w:tcPr>
                  <w:tcW w:type="dxa" w:w="511"/>
                </w:tcPr>
                <w:p>
                  <w:pPr>
                    <w:pStyle w:val="null3"/>
                    <w:jc w:val="center"/>
                  </w:pPr>
                  <w:r>
                    <w:rPr>
                      <w:rFonts w:ascii="仿宋_GB2312" w:hAnsi="仿宋_GB2312" w:cs="仿宋_GB2312" w:eastAsia="仿宋_GB2312"/>
                    </w:rPr>
                    <w:t>32</w:t>
                  </w:r>
                </w:p>
              </w:tc>
            </w:tr>
            <w:tr>
              <w:tc>
                <w:tcPr>
                  <w:tcW w:type="dxa" w:w="511"/>
                </w:tcPr>
                <w:p>
                  <w:pPr>
                    <w:pStyle w:val="null3"/>
                    <w:jc w:val="center"/>
                  </w:pPr>
                  <w:r>
                    <w:rPr>
                      <w:rFonts w:ascii="仿宋_GB2312" w:hAnsi="仿宋_GB2312" w:cs="仿宋_GB2312" w:eastAsia="仿宋_GB2312"/>
                    </w:rPr>
                    <w:t>4</w:t>
                  </w:r>
                </w:p>
              </w:tc>
              <w:tc>
                <w:tcPr>
                  <w:tcW w:type="dxa" w:w="511"/>
                </w:tcPr>
                <w:p>
                  <w:pPr>
                    <w:pStyle w:val="null3"/>
                    <w:jc w:val="center"/>
                  </w:pPr>
                  <w:r>
                    <w:rPr>
                      <w:rFonts w:ascii="仿宋_GB2312" w:hAnsi="仿宋_GB2312" w:cs="仿宋_GB2312" w:eastAsia="仿宋_GB2312"/>
                    </w:rPr>
                    <w:t>交直流电压和电流测量模块</w:t>
                  </w:r>
                </w:p>
              </w:tc>
              <w:tc>
                <w:tcPr>
                  <w:tcW w:type="dxa" w:w="511"/>
                </w:tcPr>
                <w:p>
                  <w:pPr>
                    <w:pStyle w:val="null3"/>
                    <w:jc w:val="center"/>
                  </w:pPr>
                  <w:r>
                    <w:rPr>
                      <w:rFonts w:ascii="仿宋_GB2312" w:hAnsi="仿宋_GB2312" w:cs="仿宋_GB2312" w:eastAsia="仿宋_GB2312"/>
                    </w:rPr>
                    <w:t>32</w:t>
                  </w:r>
                </w:p>
              </w:tc>
              <w:tc>
                <w:tcPr>
                  <w:tcW w:type="dxa" w:w="511"/>
                </w:tcPr>
                <w:p>
                  <w:pPr>
                    <w:pStyle w:val="null3"/>
                    <w:jc w:val="center"/>
                  </w:pPr>
                  <w:r>
                    <w:rPr>
                      <w:rFonts w:ascii="仿宋_GB2312" w:hAnsi="仿宋_GB2312" w:cs="仿宋_GB2312" w:eastAsia="仿宋_GB2312"/>
                    </w:rPr>
                    <w:t>1</w:t>
                  </w:r>
                </w:p>
              </w:tc>
              <w:tc>
                <w:tcPr>
                  <w:tcW w:type="dxa" w:w="511"/>
                </w:tcPr>
                <w:p>
                  <w:pPr>
                    <w:pStyle w:val="null3"/>
                    <w:jc w:val="center"/>
                  </w:pPr>
                  <w:r>
                    <w:rPr>
                      <w:rFonts w:ascii="仿宋_GB2312" w:hAnsi="仿宋_GB2312" w:cs="仿宋_GB2312" w:eastAsia="仿宋_GB2312"/>
                    </w:rPr>
                    <w:t>32</w:t>
                  </w:r>
                </w:p>
              </w:tc>
            </w:tr>
            <w:tr>
              <w:tc>
                <w:tcPr>
                  <w:tcW w:type="dxa" w:w="511"/>
                </w:tcPr>
                <w:p>
                  <w:pPr>
                    <w:pStyle w:val="null3"/>
                    <w:jc w:val="center"/>
                  </w:pPr>
                  <w:r>
                    <w:rPr>
                      <w:rFonts w:ascii="仿宋_GB2312" w:hAnsi="仿宋_GB2312" w:cs="仿宋_GB2312" w:eastAsia="仿宋_GB2312"/>
                    </w:rPr>
                    <w:t>5</w:t>
                  </w:r>
                </w:p>
              </w:tc>
              <w:tc>
                <w:tcPr>
                  <w:tcW w:type="dxa" w:w="511"/>
                </w:tcPr>
                <w:p>
                  <w:pPr>
                    <w:pStyle w:val="null3"/>
                    <w:jc w:val="center"/>
                  </w:pPr>
                  <w:r>
                    <w:rPr>
                      <w:rFonts w:ascii="仿宋_GB2312" w:hAnsi="仿宋_GB2312" w:cs="仿宋_GB2312" w:eastAsia="仿宋_GB2312"/>
                    </w:rPr>
                    <w:t>稳压源</w:t>
                  </w:r>
                </w:p>
              </w:tc>
              <w:tc>
                <w:tcPr>
                  <w:tcW w:type="dxa" w:w="511"/>
                </w:tcPr>
                <w:p>
                  <w:pPr>
                    <w:pStyle w:val="null3"/>
                    <w:jc w:val="center"/>
                  </w:pPr>
                  <w:r>
                    <w:rPr>
                      <w:rFonts w:ascii="仿宋_GB2312" w:hAnsi="仿宋_GB2312" w:cs="仿宋_GB2312" w:eastAsia="仿宋_GB2312"/>
                    </w:rPr>
                    <w:t>32</w:t>
                  </w:r>
                </w:p>
              </w:tc>
              <w:tc>
                <w:tcPr>
                  <w:tcW w:type="dxa" w:w="511"/>
                </w:tcPr>
                <w:p>
                  <w:pPr>
                    <w:pStyle w:val="null3"/>
                    <w:jc w:val="center"/>
                  </w:pPr>
                  <w:r>
                    <w:rPr>
                      <w:rFonts w:ascii="仿宋_GB2312" w:hAnsi="仿宋_GB2312" w:cs="仿宋_GB2312" w:eastAsia="仿宋_GB2312"/>
                    </w:rPr>
                    <w:t>1</w:t>
                  </w:r>
                </w:p>
              </w:tc>
              <w:tc>
                <w:tcPr>
                  <w:tcW w:type="dxa" w:w="511"/>
                </w:tcPr>
                <w:p>
                  <w:pPr>
                    <w:pStyle w:val="null3"/>
                    <w:jc w:val="center"/>
                  </w:pPr>
                  <w:r>
                    <w:rPr>
                      <w:rFonts w:ascii="仿宋_GB2312" w:hAnsi="仿宋_GB2312" w:cs="仿宋_GB2312" w:eastAsia="仿宋_GB2312"/>
                    </w:rPr>
                    <w:t>32</w:t>
                  </w:r>
                </w:p>
              </w:tc>
            </w:tr>
            <w:tr>
              <w:tc>
                <w:tcPr>
                  <w:tcW w:type="dxa" w:w="511"/>
                </w:tcPr>
                <w:p>
                  <w:pPr>
                    <w:pStyle w:val="null3"/>
                    <w:jc w:val="center"/>
                  </w:pPr>
                  <w:r>
                    <w:rPr>
                      <w:rFonts w:ascii="仿宋_GB2312" w:hAnsi="仿宋_GB2312" w:cs="仿宋_GB2312" w:eastAsia="仿宋_GB2312"/>
                    </w:rPr>
                    <w:t>6</w:t>
                  </w:r>
                </w:p>
              </w:tc>
              <w:tc>
                <w:tcPr>
                  <w:tcW w:type="dxa" w:w="511"/>
                </w:tcPr>
                <w:p>
                  <w:pPr>
                    <w:pStyle w:val="null3"/>
                    <w:jc w:val="center"/>
                  </w:pPr>
                  <w:r>
                    <w:rPr>
                      <w:rFonts w:ascii="仿宋_GB2312" w:hAnsi="仿宋_GB2312" w:cs="仿宋_GB2312" w:eastAsia="仿宋_GB2312"/>
                    </w:rPr>
                    <w:t>高精度台表</w:t>
                  </w:r>
                </w:p>
              </w:tc>
              <w:tc>
                <w:tcPr>
                  <w:tcW w:type="dxa" w:w="511"/>
                </w:tcPr>
                <w:p>
                  <w:pPr>
                    <w:pStyle w:val="null3"/>
                    <w:jc w:val="center"/>
                  </w:pPr>
                  <w:r>
                    <w:rPr>
                      <w:rFonts w:ascii="仿宋_GB2312" w:hAnsi="仿宋_GB2312" w:cs="仿宋_GB2312" w:eastAsia="仿宋_GB2312"/>
                    </w:rPr>
                    <w:t>32</w:t>
                  </w:r>
                </w:p>
              </w:tc>
              <w:tc>
                <w:tcPr>
                  <w:tcW w:type="dxa" w:w="511"/>
                </w:tcPr>
                <w:p>
                  <w:pPr>
                    <w:pStyle w:val="null3"/>
                    <w:jc w:val="center"/>
                  </w:pPr>
                  <w:r>
                    <w:rPr>
                      <w:rFonts w:ascii="仿宋_GB2312" w:hAnsi="仿宋_GB2312" w:cs="仿宋_GB2312" w:eastAsia="仿宋_GB2312"/>
                    </w:rPr>
                    <w:t>1</w:t>
                  </w:r>
                </w:p>
              </w:tc>
              <w:tc>
                <w:tcPr>
                  <w:tcW w:type="dxa" w:w="511"/>
                </w:tcPr>
                <w:p>
                  <w:pPr>
                    <w:pStyle w:val="null3"/>
                    <w:jc w:val="center"/>
                  </w:pPr>
                  <w:r>
                    <w:rPr>
                      <w:rFonts w:ascii="仿宋_GB2312" w:hAnsi="仿宋_GB2312" w:cs="仿宋_GB2312" w:eastAsia="仿宋_GB2312"/>
                    </w:rPr>
                    <w:t>32</w:t>
                  </w:r>
                </w:p>
              </w:tc>
            </w:tr>
            <w:tr>
              <w:tc>
                <w:tcPr>
                  <w:tcW w:type="dxa" w:w="511"/>
                </w:tcPr>
                <w:p>
                  <w:pPr>
                    <w:pStyle w:val="null3"/>
                    <w:jc w:val="center"/>
                  </w:pPr>
                  <w:r>
                    <w:rPr>
                      <w:rFonts w:ascii="仿宋_GB2312" w:hAnsi="仿宋_GB2312" w:cs="仿宋_GB2312" w:eastAsia="仿宋_GB2312"/>
                    </w:rPr>
                    <w:t>7</w:t>
                  </w:r>
                </w:p>
              </w:tc>
              <w:tc>
                <w:tcPr>
                  <w:tcW w:type="dxa" w:w="511"/>
                </w:tcPr>
                <w:p>
                  <w:pPr>
                    <w:pStyle w:val="null3"/>
                    <w:jc w:val="center"/>
                  </w:pPr>
                  <w:r>
                    <w:rPr>
                      <w:rFonts w:ascii="仿宋_GB2312" w:hAnsi="仿宋_GB2312" w:cs="仿宋_GB2312" w:eastAsia="仿宋_GB2312"/>
                    </w:rPr>
                    <w:t>数智化实验台</w:t>
                  </w:r>
                </w:p>
              </w:tc>
              <w:tc>
                <w:tcPr>
                  <w:tcW w:type="dxa" w:w="511"/>
                </w:tcPr>
                <w:p>
                  <w:pPr>
                    <w:pStyle w:val="null3"/>
                    <w:jc w:val="center"/>
                  </w:pPr>
                  <w:r>
                    <w:rPr>
                      <w:rFonts w:ascii="仿宋_GB2312" w:hAnsi="仿宋_GB2312" w:cs="仿宋_GB2312" w:eastAsia="仿宋_GB2312"/>
                    </w:rPr>
                    <w:t>/</w:t>
                  </w:r>
                </w:p>
              </w:tc>
              <w:tc>
                <w:tcPr>
                  <w:tcW w:type="dxa" w:w="511"/>
                </w:tcPr>
                <w:p>
                  <w:pPr>
                    <w:pStyle w:val="null3"/>
                    <w:jc w:val="center"/>
                  </w:pPr>
                  <w:r>
                    <w:rPr>
                      <w:rFonts w:ascii="仿宋_GB2312" w:hAnsi="仿宋_GB2312" w:cs="仿宋_GB2312" w:eastAsia="仿宋_GB2312"/>
                    </w:rPr>
                    <w:t>/</w:t>
                  </w:r>
                </w:p>
              </w:tc>
              <w:tc>
                <w:tcPr>
                  <w:tcW w:type="dxa" w:w="511"/>
                </w:tcPr>
                <w:p>
                  <w:pPr>
                    <w:pStyle w:val="null3"/>
                    <w:jc w:val="center"/>
                  </w:pPr>
                  <w:r>
                    <w:rPr>
                      <w:rFonts w:ascii="仿宋_GB2312" w:hAnsi="仿宋_GB2312" w:cs="仿宋_GB2312" w:eastAsia="仿宋_GB2312"/>
                    </w:rPr>
                    <w:t>32</w:t>
                  </w:r>
                </w:p>
              </w:tc>
            </w:tr>
            <w:tr>
              <w:tc>
                <w:tcPr>
                  <w:tcW w:type="dxa" w:w="511"/>
                </w:tcPr>
                <w:p>
                  <w:pPr>
                    <w:pStyle w:val="null3"/>
                    <w:jc w:val="center"/>
                  </w:pPr>
                  <w:r>
                    <w:rPr>
                      <w:rFonts w:ascii="仿宋_GB2312" w:hAnsi="仿宋_GB2312" w:cs="仿宋_GB2312" w:eastAsia="仿宋_GB2312"/>
                    </w:rPr>
                    <w:t>8</w:t>
                  </w:r>
                </w:p>
              </w:tc>
              <w:tc>
                <w:tcPr>
                  <w:tcW w:type="dxa" w:w="511"/>
                </w:tcPr>
                <w:p>
                  <w:pPr>
                    <w:pStyle w:val="null3"/>
                    <w:jc w:val="center"/>
                  </w:pPr>
                  <w:r>
                    <w:rPr>
                      <w:rFonts w:ascii="仿宋_GB2312" w:hAnsi="仿宋_GB2312" w:cs="仿宋_GB2312" w:eastAsia="仿宋_GB2312"/>
                    </w:rPr>
                    <w:t>智能交互显示单元</w:t>
                  </w:r>
                </w:p>
              </w:tc>
              <w:tc>
                <w:tcPr>
                  <w:tcW w:type="dxa" w:w="511"/>
                </w:tcPr>
                <w:p>
                  <w:pPr>
                    <w:pStyle w:val="null3"/>
                    <w:jc w:val="center"/>
                  </w:pPr>
                  <w:r>
                    <w:rPr>
                      <w:rFonts w:ascii="仿宋_GB2312" w:hAnsi="仿宋_GB2312" w:cs="仿宋_GB2312" w:eastAsia="仿宋_GB2312"/>
                    </w:rPr>
                    <w:t>/</w:t>
                  </w:r>
                </w:p>
              </w:tc>
              <w:tc>
                <w:tcPr>
                  <w:tcW w:type="dxa" w:w="511"/>
                </w:tcPr>
                <w:p>
                  <w:pPr>
                    <w:pStyle w:val="null3"/>
                    <w:jc w:val="center"/>
                  </w:pPr>
                  <w:r>
                    <w:rPr>
                      <w:rFonts w:ascii="仿宋_GB2312" w:hAnsi="仿宋_GB2312" w:cs="仿宋_GB2312" w:eastAsia="仿宋_GB2312"/>
                    </w:rPr>
                    <w:t>/</w:t>
                  </w:r>
                </w:p>
              </w:tc>
              <w:tc>
                <w:tcPr>
                  <w:tcW w:type="dxa" w:w="511"/>
                </w:tcPr>
                <w:p>
                  <w:pPr>
                    <w:pStyle w:val="null3"/>
                    <w:jc w:val="center"/>
                  </w:pPr>
                  <w:r>
                    <w:rPr>
                      <w:rFonts w:ascii="仿宋_GB2312" w:hAnsi="仿宋_GB2312" w:cs="仿宋_GB2312" w:eastAsia="仿宋_GB2312"/>
                    </w:rPr>
                    <w:t>2</w:t>
                  </w:r>
                </w:p>
              </w:tc>
            </w:tr>
          </w:tbl>
          <w:p>
            <w:pPr>
              <w:pStyle w:val="null3"/>
            </w:pPr>
            <w:r>
              <w:rPr>
                <w:rFonts w:ascii="仿宋_GB2312" w:hAnsi="仿宋_GB2312" w:cs="仿宋_GB2312" w:eastAsia="仿宋_GB2312"/>
              </w:rPr>
              <w:t>二、详细技术参数</w:t>
            </w:r>
          </w:p>
          <w:p>
            <w:pPr>
              <w:pStyle w:val="null3"/>
            </w:pPr>
            <w:r>
              <w:rPr>
                <w:rFonts w:ascii="仿宋_GB2312" w:hAnsi="仿宋_GB2312" w:cs="仿宋_GB2312" w:eastAsia="仿宋_GB2312"/>
              </w:rPr>
              <w:t>1.模拟电路综合实验模块：</w:t>
            </w:r>
          </w:p>
          <w:p>
            <w:pPr>
              <w:pStyle w:val="null3"/>
            </w:pPr>
            <w:r>
              <w:rPr>
                <w:rFonts w:ascii="仿宋_GB2312" w:hAnsi="仿宋_GB2312" w:cs="仿宋_GB2312" w:eastAsia="仿宋_GB2312"/>
              </w:rPr>
              <w:t>（1）采用模块化结构，由铝合金收纳箱和实验模块构成。每个模块采用双面设计工艺，正面为线路原理和元件，反面为具体线路分布，模块不小于：200mm*150mm。</w:t>
            </w:r>
          </w:p>
          <w:p>
            <w:pPr>
              <w:pStyle w:val="null3"/>
            </w:pPr>
            <w:r>
              <w:rPr>
                <w:rFonts w:ascii="仿宋_GB2312" w:hAnsi="仿宋_GB2312" w:cs="仿宋_GB2312" w:eastAsia="仿宋_GB2312"/>
              </w:rPr>
              <w:t>▲（2）采用台式直流稳压电源供电，包含防反接电源保护电路，提供专用安全电源连线，保护电源及电路安全；提供防短路信号及测试连线，配套安全输入输出插孔。</w:t>
            </w:r>
          </w:p>
          <w:p>
            <w:pPr>
              <w:pStyle w:val="null3"/>
            </w:pPr>
            <w:r>
              <w:rPr>
                <w:rFonts w:ascii="仿宋_GB2312" w:hAnsi="仿宋_GB2312" w:cs="仿宋_GB2312" w:eastAsia="仿宋_GB2312"/>
              </w:rPr>
              <w:t>（3）实验功能模块包含但不限于以下内容：</w:t>
            </w:r>
          </w:p>
          <w:p>
            <w:pPr>
              <w:pStyle w:val="null3"/>
            </w:pPr>
            <w:r>
              <w:rPr>
                <w:rFonts w:ascii="仿宋_GB2312" w:hAnsi="仿宋_GB2312" w:cs="仿宋_GB2312" w:eastAsia="仿宋_GB2312"/>
              </w:rPr>
              <w:t>1）基本放大器：由三级管及若干外围器件构成实验电路。</w:t>
            </w:r>
          </w:p>
          <w:p>
            <w:pPr>
              <w:pStyle w:val="null3"/>
            </w:pPr>
            <w:r>
              <w:rPr>
                <w:rFonts w:ascii="仿宋_GB2312" w:hAnsi="仿宋_GB2312" w:cs="仿宋_GB2312" w:eastAsia="仿宋_GB2312"/>
              </w:rPr>
              <w:t>2）差分放大器：由两个对称的三级管及若干外围器件构成实验电路。</w:t>
            </w:r>
          </w:p>
          <w:p>
            <w:pPr>
              <w:pStyle w:val="null3"/>
            </w:pPr>
            <w:r>
              <w:rPr>
                <w:rFonts w:ascii="仿宋_GB2312" w:hAnsi="仿宋_GB2312" w:cs="仿宋_GB2312" w:eastAsia="仿宋_GB2312"/>
              </w:rPr>
              <w:t>3）运算放大器的应用：由集成运放及若干外围器件构成半开放实验电路。</w:t>
            </w:r>
          </w:p>
          <w:p>
            <w:pPr>
              <w:pStyle w:val="null3"/>
            </w:pPr>
            <w:r>
              <w:rPr>
                <w:rFonts w:ascii="仿宋_GB2312" w:hAnsi="仿宋_GB2312" w:cs="仿宋_GB2312" w:eastAsia="仿宋_GB2312"/>
              </w:rPr>
              <w:t>4）方波和三角波发生器：由比较器和积分器构成，可输出方波和三角波。</w:t>
            </w:r>
          </w:p>
          <w:p>
            <w:pPr>
              <w:pStyle w:val="null3"/>
            </w:pPr>
            <w:r>
              <w:rPr>
                <w:rFonts w:ascii="仿宋_GB2312" w:hAnsi="仿宋_GB2312" w:cs="仿宋_GB2312" w:eastAsia="仿宋_GB2312"/>
              </w:rPr>
              <w:t>5）滤波器的应用：由低通和高通有源滤波器构成，可组合成带通滤波器。</w:t>
            </w:r>
          </w:p>
          <w:p>
            <w:pPr>
              <w:pStyle w:val="null3"/>
            </w:pPr>
            <w:r>
              <w:rPr>
                <w:rFonts w:ascii="仿宋_GB2312" w:hAnsi="仿宋_GB2312" w:cs="仿宋_GB2312" w:eastAsia="仿宋_GB2312"/>
              </w:rPr>
              <w:t>2.波形显示测量模块：</w:t>
            </w:r>
          </w:p>
          <w:p>
            <w:pPr>
              <w:pStyle w:val="null3"/>
            </w:pPr>
            <w:r>
              <w:rPr>
                <w:rFonts w:ascii="仿宋_GB2312" w:hAnsi="仿宋_GB2312" w:cs="仿宋_GB2312" w:eastAsia="仿宋_GB2312"/>
              </w:rPr>
              <w:t>（1）模拟带宽≥200MHz，模拟通道≥4个。</w:t>
            </w:r>
          </w:p>
          <w:p>
            <w:pPr>
              <w:pStyle w:val="null3"/>
            </w:pPr>
            <w:r>
              <w:rPr>
                <w:rFonts w:ascii="仿宋_GB2312" w:hAnsi="仿宋_GB2312" w:cs="仿宋_GB2312" w:eastAsia="仿宋_GB2312"/>
              </w:rPr>
              <w:t>（2）实时采样率≥2GSa/s，存储深度≥100Mpts。</w:t>
            </w:r>
          </w:p>
          <w:p>
            <w:pPr>
              <w:pStyle w:val="null3"/>
            </w:pPr>
            <w:r>
              <w:rPr>
                <w:rFonts w:ascii="仿宋_GB2312" w:hAnsi="仿宋_GB2312" w:cs="仿宋_GB2312" w:eastAsia="仿宋_GB2312"/>
              </w:rPr>
              <w:t>（3）显示屏≥10英寸多点触控电容屏，支持手势操作。</w:t>
            </w:r>
          </w:p>
          <w:p>
            <w:pPr>
              <w:pStyle w:val="null3"/>
            </w:pPr>
            <w:r>
              <w:rPr>
                <w:rFonts w:ascii="仿宋_GB2312" w:hAnsi="仿宋_GB2312" w:cs="仿宋_GB2312" w:eastAsia="仿宋_GB2312"/>
              </w:rPr>
              <w:t>▲（4）波形捕获率≥1，400，000wfms/s。</w:t>
            </w:r>
          </w:p>
          <w:p>
            <w:pPr>
              <w:pStyle w:val="null3"/>
            </w:pPr>
            <w:r>
              <w:rPr>
                <w:rFonts w:ascii="仿宋_GB2312" w:hAnsi="仿宋_GB2312" w:cs="仿宋_GB2312" w:eastAsia="仿宋_GB2312"/>
              </w:rPr>
              <w:t>▲（5）硬件垂直分辨率≥12 bit，高分辨率模式下≥16bit。</w:t>
            </w:r>
          </w:p>
          <w:p>
            <w:pPr>
              <w:pStyle w:val="null3"/>
            </w:pPr>
            <w:r>
              <w:rPr>
                <w:rFonts w:ascii="仿宋_GB2312" w:hAnsi="仿宋_GB2312" w:cs="仿宋_GB2312" w:eastAsia="仿宋_GB2312"/>
              </w:rPr>
              <w:t>▲（6）不低于45万帧的硬件实时波形不间断录制功能和波形分析功能，标配波形直方图分析功能。</w:t>
            </w:r>
          </w:p>
          <w:p>
            <w:pPr>
              <w:pStyle w:val="null3"/>
            </w:pPr>
            <w:r>
              <w:rPr>
                <w:rFonts w:ascii="仿宋_GB2312" w:hAnsi="仿宋_GB2312" w:cs="仿宋_GB2312" w:eastAsia="仿宋_GB2312"/>
              </w:rPr>
              <w:t>（7）免费将平台单元接入学院现有标准以太网接口的UltraLab智能实验管理系统，完成线上统一管理、实验数据采集、电子实验报告生成批改等，并调试稳定运行。</w:t>
            </w:r>
          </w:p>
          <w:p>
            <w:pPr>
              <w:pStyle w:val="null3"/>
            </w:pPr>
            <w:r>
              <w:rPr>
                <w:rFonts w:ascii="仿宋_GB2312" w:hAnsi="仿宋_GB2312" w:cs="仿宋_GB2312" w:eastAsia="仿宋_GB2312"/>
              </w:rPr>
              <w:t>3.波形发生模块：</w:t>
            </w:r>
          </w:p>
          <w:p>
            <w:pPr>
              <w:pStyle w:val="null3"/>
            </w:pPr>
            <w:r>
              <w:rPr>
                <w:rFonts w:ascii="仿宋_GB2312" w:hAnsi="仿宋_GB2312" w:cs="仿宋_GB2312" w:eastAsia="仿宋_GB2312"/>
              </w:rPr>
              <w:t>▲（1）最高采样率≥1.25GSa/s。</w:t>
            </w:r>
          </w:p>
          <w:p>
            <w:pPr>
              <w:pStyle w:val="null3"/>
            </w:pPr>
            <w:r>
              <w:rPr>
                <w:rFonts w:ascii="仿宋_GB2312" w:hAnsi="仿宋_GB2312" w:cs="仿宋_GB2312" w:eastAsia="仿宋_GB2312"/>
              </w:rPr>
              <w:t>（2）最高输出频率≥150MHz，2个独立输出通道。</w:t>
            </w:r>
          </w:p>
          <w:p>
            <w:pPr>
              <w:pStyle w:val="null3"/>
            </w:pPr>
            <w:r>
              <w:rPr>
                <w:rFonts w:ascii="仿宋_GB2312" w:hAnsi="仿宋_GB2312" w:cs="仿宋_GB2312" w:eastAsia="仿宋_GB2312"/>
              </w:rPr>
              <w:t>（3）垂直分辨率≥16 bit，任意波长度≥16 Mpts/CH。</w:t>
            </w:r>
          </w:p>
          <w:p>
            <w:pPr>
              <w:pStyle w:val="null3"/>
            </w:pPr>
            <w:r>
              <w:rPr>
                <w:rFonts w:ascii="仿宋_GB2312" w:hAnsi="仿宋_GB2312" w:cs="仿宋_GB2312" w:eastAsia="仿宋_GB2312"/>
              </w:rPr>
              <w:t>（4）内置最高≥20 次谐波发生器。</w:t>
            </w:r>
          </w:p>
          <w:p>
            <w:pPr>
              <w:pStyle w:val="null3"/>
            </w:pPr>
            <w:r>
              <w:rPr>
                <w:rFonts w:ascii="仿宋_GB2312" w:hAnsi="仿宋_GB2312" w:cs="仿宋_GB2312" w:eastAsia="仿宋_GB2312"/>
              </w:rPr>
              <w:t>▲（5）显示屏≥7英寸，高清触控。</w:t>
            </w:r>
          </w:p>
          <w:p>
            <w:pPr>
              <w:pStyle w:val="null3"/>
            </w:pPr>
            <w:r>
              <w:rPr>
                <w:rFonts w:ascii="仿宋_GB2312" w:hAnsi="仿宋_GB2312" w:cs="仿宋_GB2312" w:eastAsia="仿宋_GB2312"/>
              </w:rPr>
              <w:t>（6）免费将平台单元接入学院现有标准以太网接口的UltraLab智能实验管理系统，完成线上统一管理、实验数据采集、电子实验报告生成批改等，并调试稳定运行。</w:t>
            </w:r>
          </w:p>
          <w:p>
            <w:pPr>
              <w:pStyle w:val="null3"/>
            </w:pPr>
            <w:r>
              <w:rPr>
                <w:rFonts w:ascii="仿宋_GB2312" w:hAnsi="仿宋_GB2312" w:cs="仿宋_GB2312" w:eastAsia="仿宋_GB2312"/>
              </w:rPr>
              <w:t>4.交直流电压和电流测量模块：</w:t>
            </w:r>
          </w:p>
          <w:p>
            <w:pPr>
              <w:pStyle w:val="null3"/>
            </w:pPr>
            <w:r>
              <w:rPr>
                <w:rFonts w:ascii="仿宋_GB2312" w:hAnsi="仿宋_GB2312" w:cs="仿宋_GB2312" w:eastAsia="仿宋_GB2312"/>
              </w:rPr>
              <w:t>▲（1）屏幕≥7寸彩色触摸屏，同时显示双测量结果。</w:t>
            </w:r>
          </w:p>
          <w:p>
            <w:pPr>
              <w:pStyle w:val="null3"/>
            </w:pPr>
            <w:r>
              <w:rPr>
                <w:rFonts w:ascii="仿宋_GB2312" w:hAnsi="仿宋_GB2312" w:cs="仿宋_GB2312" w:eastAsia="仿宋_GB2312"/>
              </w:rPr>
              <w:t>（2）不低于5位半读数分辨率，基本直流电压准确度≥0.03%。</w:t>
            </w:r>
          </w:p>
          <w:p>
            <w:pPr>
              <w:pStyle w:val="null3"/>
            </w:pPr>
            <w:r>
              <w:rPr>
                <w:rFonts w:ascii="仿宋_GB2312" w:hAnsi="仿宋_GB2312" w:cs="仿宋_GB2312" w:eastAsia="仿宋_GB2312"/>
              </w:rPr>
              <w:t>（3）读数速率≥125 个读数/秒，最高≥500,000点记录存储器；</w:t>
            </w:r>
          </w:p>
          <w:p>
            <w:pPr>
              <w:pStyle w:val="null3"/>
            </w:pPr>
            <w:r>
              <w:rPr>
                <w:rFonts w:ascii="仿宋_GB2312" w:hAnsi="仿宋_GB2312" w:cs="仿宋_GB2312" w:eastAsia="仿宋_GB2312"/>
              </w:rPr>
              <w:t>（4）直流电压测量档位：100 mV ~ 1000 V ，直流电流测量档位：100 μA ~ 10 A</w:t>
            </w:r>
          </w:p>
          <w:p>
            <w:pPr>
              <w:pStyle w:val="null3"/>
            </w:pPr>
            <w:r>
              <w:rPr>
                <w:rFonts w:ascii="仿宋_GB2312" w:hAnsi="仿宋_GB2312" w:cs="仿宋_GB2312" w:eastAsia="仿宋_GB2312"/>
              </w:rPr>
              <w:t>（5）交流电压测量档位：True-RMS，100 mV ~ 750 V ，交流电流测量档位：True-RMS，100 μA ~ 10 A。</w:t>
            </w:r>
          </w:p>
          <w:p>
            <w:pPr>
              <w:pStyle w:val="null3"/>
            </w:pPr>
            <w:r>
              <w:rPr>
                <w:rFonts w:ascii="仿宋_GB2312" w:hAnsi="仿宋_GB2312" w:cs="仿宋_GB2312" w:eastAsia="仿宋_GB2312"/>
              </w:rPr>
              <w:t>（6）传感器测量：支持DCV、DCI、Freq、2WR、4WR、热电偶TC共6种传感器类型。</w:t>
            </w:r>
          </w:p>
          <w:p>
            <w:pPr>
              <w:pStyle w:val="null3"/>
            </w:pPr>
            <w:r>
              <w:rPr>
                <w:rFonts w:ascii="仿宋_GB2312" w:hAnsi="仿宋_GB2312" w:cs="仿宋_GB2312" w:eastAsia="仿宋_GB2312"/>
              </w:rPr>
              <w:t>（7）免费将平台单元接入学院现有标准以太网接口的UltraLab智能实验管理系统，完成线上统一管理、实验数据采集、电子实验报告生成批改等，并调试稳定运行。</w:t>
            </w:r>
          </w:p>
          <w:p>
            <w:pPr>
              <w:pStyle w:val="null3"/>
            </w:pPr>
            <w:r>
              <w:rPr>
                <w:rFonts w:ascii="仿宋_GB2312" w:hAnsi="仿宋_GB2312" w:cs="仿宋_GB2312" w:eastAsia="仿宋_GB2312"/>
              </w:rPr>
              <w:t>5.稳压源：</w:t>
            </w:r>
          </w:p>
          <w:p>
            <w:pPr>
              <w:pStyle w:val="null3"/>
            </w:pPr>
            <w:r>
              <w:rPr>
                <w:rFonts w:ascii="仿宋_GB2312" w:hAnsi="仿宋_GB2312" w:cs="仿宋_GB2312" w:eastAsia="仿宋_GB2312"/>
              </w:rPr>
              <w:t>▲（1）3路输出：0-32V/0-3A连续可调2路，0-5V/0-3A 连续可调1路,输出功率≥200W。</w:t>
            </w:r>
          </w:p>
          <w:p>
            <w:pPr>
              <w:pStyle w:val="null3"/>
            </w:pPr>
            <w:r>
              <w:rPr>
                <w:rFonts w:ascii="仿宋_GB2312" w:hAnsi="仿宋_GB2312" w:cs="仿宋_GB2312" w:eastAsia="仿宋_GB2312"/>
              </w:rPr>
              <w:t>（2）纹波噪声: ≤350uVrms / 2mVpp。</w:t>
            </w:r>
          </w:p>
          <w:p>
            <w:pPr>
              <w:pStyle w:val="null3"/>
            </w:pPr>
            <w:r>
              <w:rPr>
                <w:rFonts w:ascii="仿宋_GB2312" w:hAnsi="仿宋_GB2312" w:cs="仿宋_GB2312" w:eastAsia="仿宋_GB2312"/>
              </w:rPr>
              <w:t>▲（3）屏幕≥4.3英寸彩色触控屏，电压分辨率≤10mV，电流分辨率≤1mA。</w:t>
            </w:r>
          </w:p>
          <w:p>
            <w:pPr>
              <w:pStyle w:val="null3"/>
            </w:pPr>
            <w:r>
              <w:rPr>
                <w:rFonts w:ascii="仿宋_GB2312" w:hAnsi="仿宋_GB2312" w:cs="仿宋_GB2312" w:eastAsia="仿宋_GB2312"/>
              </w:rPr>
              <w:t>（4）支持CH1和CH2内部自动串并联输出功能：64V/3A（串联），32V/6A（并联）。</w:t>
            </w:r>
          </w:p>
          <w:p>
            <w:pPr>
              <w:pStyle w:val="null3"/>
            </w:pPr>
            <w:r>
              <w:rPr>
                <w:rFonts w:ascii="仿宋_GB2312" w:hAnsi="仿宋_GB2312" w:cs="仿宋_GB2312" w:eastAsia="仿宋_GB2312"/>
              </w:rPr>
              <w:t>▲（5）3个通道输出独立控制，通道间隔离，前面板安全端子输出。</w:t>
            </w:r>
          </w:p>
          <w:p>
            <w:pPr>
              <w:pStyle w:val="null3"/>
            </w:pPr>
            <w:r>
              <w:rPr>
                <w:rFonts w:ascii="仿宋_GB2312" w:hAnsi="仿宋_GB2312" w:cs="仿宋_GB2312" w:eastAsia="仿宋_GB2312"/>
              </w:rPr>
              <w:t>（6）免费将平台单元接入学院现有标准以太网接口的UltraLab智能实验管理系统，完成线上统一管理、实验数据采集、电子实验报告生成批改等，并调试稳定运行。</w:t>
            </w:r>
          </w:p>
          <w:p>
            <w:pPr>
              <w:pStyle w:val="null3"/>
            </w:pPr>
            <w:r>
              <w:rPr>
                <w:rFonts w:ascii="仿宋_GB2312" w:hAnsi="仿宋_GB2312" w:cs="仿宋_GB2312" w:eastAsia="仿宋_GB2312"/>
              </w:rPr>
              <w:t>6.高精度台表：</w:t>
            </w:r>
          </w:p>
          <w:p>
            <w:pPr>
              <w:pStyle w:val="null3"/>
            </w:pPr>
            <w:r>
              <w:rPr>
                <w:rFonts w:ascii="仿宋_GB2312" w:hAnsi="仿宋_GB2312" w:cs="仿宋_GB2312" w:eastAsia="仿宋_GB2312"/>
              </w:rPr>
              <w:t>（1）不小于4英寸TFT 液晶显示。</w:t>
            </w:r>
          </w:p>
          <w:p>
            <w:pPr>
              <w:pStyle w:val="null3"/>
            </w:pPr>
            <w:r>
              <w:rPr>
                <w:rFonts w:ascii="仿宋_GB2312" w:hAnsi="仿宋_GB2312" w:cs="仿宋_GB2312" w:eastAsia="仿宋_GB2312"/>
              </w:rPr>
              <w:t>（2）不低于5位半读数分辨率。</w:t>
            </w:r>
          </w:p>
          <w:p>
            <w:pPr>
              <w:pStyle w:val="null3"/>
            </w:pPr>
            <w:r>
              <w:rPr>
                <w:rFonts w:ascii="仿宋_GB2312" w:hAnsi="仿宋_GB2312" w:cs="仿宋_GB2312" w:eastAsia="仿宋_GB2312"/>
              </w:rPr>
              <w:t>（3）真有效值交流电压电流测量。</w:t>
            </w:r>
          </w:p>
          <w:p>
            <w:pPr>
              <w:pStyle w:val="null3"/>
            </w:pPr>
            <w:r>
              <w:rPr>
                <w:rFonts w:ascii="仿宋_GB2312" w:hAnsi="仿宋_GB2312" w:cs="仿宋_GB2312" w:eastAsia="仿宋_GB2312"/>
              </w:rPr>
              <w:t>（4）支持2 线和 4 线电阻、频率、导通、二极管测试等。</w:t>
            </w:r>
          </w:p>
          <w:p>
            <w:pPr>
              <w:pStyle w:val="null3"/>
            </w:pPr>
            <w:r>
              <w:rPr>
                <w:rFonts w:ascii="仿宋_GB2312" w:hAnsi="仿宋_GB2312" w:cs="仿宋_GB2312" w:eastAsia="仿宋_GB2312"/>
              </w:rPr>
              <w:t>（5）支持双显示，记录仪图表功能，可分析变化趋势。</w:t>
            </w:r>
          </w:p>
          <w:p>
            <w:pPr>
              <w:pStyle w:val="null3"/>
            </w:pPr>
            <w:r>
              <w:rPr>
                <w:rFonts w:ascii="仿宋_GB2312" w:hAnsi="仿宋_GB2312" w:cs="仿宋_GB2312" w:eastAsia="仿宋_GB2312"/>
              </w:rPr>
              <w:t>7.数智化实验台（见附图）：</w:t>
            </w:r>
          </w:p>
          <w:p>
            <w:pPr>
              <w:pStyle w:val="null3"/>
            </w:pPr>
            <w:r>
              <w:rPr>
                <w:rFonts w:ascii="仿宋_GB2312" w:hAnsi="仿宋_GB2312" w:cs="仿宋_GB2312" w:eastAsia="仿宋_GB2312"/>
              </w:rPr>
              <w:t>（1）每一个数智化实验台，定制2个工位，配套钢木结构方凳2把。实验台整体结构尺寸2000mm×800mm×1400mm（尺寸可定制），框架材质主体为钢木结构（钢材厚度≥1.2mm），防火、防水、耐磨防静电桌面（板厚度≥20mm），桌面铺设三防垫，桌腿安装橡胶垫。钢木结构方凳尺寸340mm×240mm×420mm（尺寸可定制）。</w:t>
            </w:r>
          </w:p>
          <w:p>
            <w:pPr>
              <w:pStyle w:val="null3"/>
            </w:pPr>
            <w:r>
              <w:rPr>
                <w:rFonts w:ascii="仿宋_GB2312" w:hAnsi="仿宋_GB2312" w:cs="仿宋_GB2312" w:eastAsia="仿宋_GB2312"/>
              </w:rPr>
              <w:t>（2）电源线、网线配线采用隐藏式布线，不锈钢线架，每组设有继电保护电路、总控电路。</w:t>
            </w:r>
          </w:p>
          <w:p>
            <w:pPr>
              <w:pStyle w:val="null3"/>
            </w:pPr>
            <w:r>
              <w:rPr>
                <w:rFonts w:ascii="仿宋_GB2312" w:hAnsi="仿宋_GB2312" w:cs="仿宋_GB2312" w:eastAsia="仿宋_GB2312"/>
              </w:rPr>
              <w:t>（3）测试仪器、实验上位机嵌入仪器台，台面两组暗装插座，工具和仪器附件采用网孔挂板整理。</w:t>
            </w:r>
          </w:p>
          <w:p>
            <w:pPr>
              <w:pStyle w:val="null3"/>
            </w:pPr>
            <w:r>
              <w:rPr>
                <w:rFonts w:ascii="仿宋_GB2312" w:hAnsi="仿宋_GB2312" w:cs="仿宋_GB2312" w:eastAsia="仿宋_GB2312"/>
              </w:rPr>
              <w:t>▲（4）支持工位以太网电源控制器、以太网身份验证读卡器、具有灯光指示的启停控制箱等实验室管理硬件资源，支持internet、跨网段局域网传输。</w:t>
            </w:r>
          </w:p>
          <w:p>
            <w:pPr>
              <w:pStyle w:val="null3"/>
            </w:pPr>
            <w:r>
              <w:rPr>
                <w:rFonts w:ascii="仿宋_GB2312" w:hAnsi="仿宋_GB2312" w:cs="仿宋_GB2312" w:eastAsia="仿宋_GB2312"/>
              </w:rPr>
              <w:t>（5）工位配套POE千兆接入交换机，实现各实验单元、电源控制器及读卡器网络接入及供电。</w:t>
            </w:r>
          </w:p>
          <w:p>
            <w:pPr>
              <w:pStyle w:val="null3"/>
            </w:pPr>
            <w:r>
              <w:rPr>
                <w:rFonts w:ascii="仿宋_GB2312" w:hAnsi="仿宋_GB2312" w:cs="仿宋_GB2312" w:eastAsia="仿宋_GB2312"/>
              </w:rPr>
              <w:t>（6）免费提供所有仪器设备的安装以及调试服务，所需配件均由供应商提供。</w:t>
            </w:r>
          </w:p>
          <w:p>
            <w:pPr>
              <w:pStyle w:val="null3"/>
              <w:jc w:val="center"/>
            </w:pPr>
            <w:r>
              <w:drawing>
                <wp:inline distT="0" distR="0" distB="0" distL="0">
                  <wp:extent cx="1621155" cy="1499408"/>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499408"/>
                          </a:xfrm>
                          <a:prstGeom prst="rect">
                            <a:avLst/>
                          </a:prstGeom>
                        </pic:spPr>
                      </pic:pic>
                    </a:graphicData>
                  </a:graphic>
                </wp:inline>
              </w:drawing>
            </w:r>
          </w:p>
          <w:p>
            <w:pPr>
              <w:pStyle w:val="null3"/>
              <w:jc w:val="center"/>
            </w:pPr>
            <w:r>
              <w:rPr>
                <w:rFonts w:ascii="仿宋_GB2312" w:hAnsi="仿宋_GB2312" w:cs="仿宋_GB2312" w:eastAsia="仿宋_GB2312"/>
              </w:rPr>
              <w:t>图1  单个实验台正视图（2工位）</w:t>
            </w:r>
          </w:p>
          <w:p>
            <w:pPr>
              <w:pStyle w:val="null3"/>
              <w:jc w:val="center"/>
            </w:pPr>
            <w:r>
              <w:drawing>
                <wp:inline distT="0" distR="0" distB="0" distL="0">
                  <wp:extent cx="1621155" cy="266332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2663326"/>
                          </a:xfrm>
                          <a:prstGeom prst="rect">
                            <a:avLst/>
                          </a:prstGeom>
                        </pic:spPr>
                      </pic:pic>
                    </a:graphicData>
                  </a:graphic>
                </wp:inline>
              </w:drawing>
            </w:r>
          </w:p>
          <w:p>
            <w:pPr>
              <w:pStyle w:val="null3"/>
            </w:pPr>
            <w:r>
              <w:rPr>
                <w:rFonts w:ascii="仿宋_GB2312" w:hAnsi="仿宋_GB2312" w:cs="仿宋_GB2312" w:eastAsia="仿宋_GB2312"/>
              </w:rPr>
              <w:t>图2  一间教室的数智化实验台摆放俯视图（16个实验台32工位）</w:t>
            </w:r>
          </w:p>
          <w:p>
            <w:pPr>
              <w:pStyle w:val="null3"/>
            </w:pPr>
            <w:r>
              <w:rPr>
                <w:rFonts w:ascii="仿宋_GB2312" w:hAnsi="仿宋_GB2312" w:cs="仿宋_GB2312" w:eastAsia="仿宋_GB2312"/>
              </w:rPr>
              <w:t>8.智能交互显示单元</w:t>
            </w:r>
          </w:p>
          <w:p>
            <w:pPr>
              <w:pStyle w:val="null3"/>
            </w:pPr>
            <w:r>
              <w:rPr>
                <w:rFonts w:ascii="仿宋_GB2312" w:hAnsi="仿宋_GB2312" w:cs="仿宋_GB2312" w:eastAsia="仿宋_GB2312"/>
              </w:rPr>
              <w:t>（1）整机外壳与结构 整机采用全金属外壳，三拼接平面一体化设计，屏幕边缘采用圆角包边防护，整机背板采用金属材质。整体外观尺寸：宽≥4200mm，高≥1200mm，厚≤117mm。</w:t>
            </w:r>
          </w:p>
          <w:p>
            <w:pPr>
              <w:pStyle w:val="null3"/>
            </w:pPr>
            <w:r>
              <w:rPr>
                <w:rFonts w:ascii="仿宋_GB2312" w:hAnsi="仿宋_GB2312" w:cs="仿宋_GB2312" w:eastAsia="仿宋_GB2312"/>
              </w:rPr>
              <w:t>（2）整机屏幕采用超高清LED液晶显示屏，显示尺寸≥86英寸，显示比例16:9，分辨率3840×2160。</w:t>
            </w:r>
          </w:p>
          <w:p>
            <w:pPr>
              <w:pStyle w:val="null3"/>
            </w:pPr>
            <w:r>
              <w:rPr>
                <w:rFonts w:ascii="仿宋_GB2312" w:hAnsi="仿宋_GB2312" w:cs="仿宋_GB2312" w:eastAsia="仿宋_GB2312"/>
              </w:rPr>
              <w:t>（3）整机嵌入式系统版本≥Android 14。</w:t>
            </w:r>
          </w:p>
          <w:p>
            <w:pPr>
              <w:pStyle w:val="null3"/>
            </w:pPr>
            <w:r>
              <w:rPr>
                <w:rFonts w:ascii="仿宋_GB2312" w:hAnsi="仿宋_GB2312" w:cs="仿宋_GB2312" w:eastAsia="仿宋_GB2312"/>
              </w:rPr>
              <w:t>（4）采用红外触控方式，支持Windows、Android系统中进行40点或以上触控。</w:t>
            </w:r>
          </w:p>
          <w:p>
            <w:pPr>
              <w:pStyle w:val="null3"/>
            </w:pPr>
            <w:r>
              <w:rPr>
                <w:rFonts w:ascii="仿宋_GB2312" w:hAnsi="仿宋_GB2312" w:cs="仿宋_GB2312" w:eastAsia="仿宋_GB2312"/>
              </w:rPr>
              <w:t>（5）整机内置2.2声道扬声器，顶置朝前发声，前朝向10W高音扬声器2个，上朝向20W中低音扬声器2个，额定总功率≥60W。</w:t>
            </w:r>
          </w:p>
          <w:p>
            <w:pPr>
              <w:pStyle w:val="null3"/>
            </w:pPr>
            <w:r>
              <w:rPr>
                <w:rFonts w:ascii="仿宋_GB2312" w:hAnsi="仿宋_GB2312" w:cs="仿宋_GB2312" w:eastAsia="仿宋_GB2312"/>
              </w:rPr>
              <w:t>（6）整机内置非独立外扩展的8阵列麦克风，拾音距离≥10m。</w:t>
            </w:r>
          </w:p>
          <w:p>
            <w:pPr>
              <w:pStyle w:val="null3"/>
            </w:pPr>
            <w:r>
              <w:rPr>
                <w:rFonts w:ascii="仿宋_GB2312" w:hAnsi="仿宋_GB2312" w:cs="仿宋_GB2312" w:eastAsia="仿宋_GB2312"/>
              </w:rPr>
              <w:t>（7）整机具有护眼模式。</w:t>
            </w:r>
          </w:p>
          <w:p>
            <w:pPr>
              <w:pStyle w:val="null3"/>
            </w:pPr>
            <w:r>
              <w:rPr>
                <w:rFonts w:ascii="仿宋_GB2312" w:hAnsi="仿宋_GB2312" w:cs="仿宋_GB2312" w:eastAsia="仿宋_GB2312"/>
              </w:rPr>
              <w:t>（8）整机内置双WiFi6无线网卡。</w:t>
            </w:r>
          </w:p>
          <w:p>
            <w:pPr>
              <w:pStyle w:val="null3"/>
            </w:pPr>
            <w:r>
              <w:rPr>
                <w:rFonts w:ascii="仿宋_GB2312" w:hAnsi="仿宋_GB2312" w:cs="仿宋_GB2312" w:eastAsia="仿宋_GB2312"/>
              </w:rPr>
              <w:t>（9）整机具备前置Type-C接口≥1个，HDMI接口≥2个，前置USB接口≥2个。</w:t>
            </w:r>
          </w:p>
          <w:p>
            <w:pPr>
              <w:pStyle w:val="null3"/>
            </w:pPr>
            <w:r>
              <w:rPr>
                <w:rFonts w:ascii="仿宋_GB2312" w:hAnsi="仿宋_GB2312" w:cs="仿宋_GB2312" w:eastAsia="仿宋_GB2312"/>
              </w:rPr>
              <w:t>（10）内置摄像头可拍摄≥4800万像素的照片，支持输出8192×2048分辨率的照片和视频，支持画面畸变矫正功能。</w:t>
            </w:r>
          </w:p>
          <w:p>
            <w:pPr>
              <w:pStyle w:val="null3"/>
            </w:pPr>
            <w:r>
              <w:rPr>
                <w:rFonts w:ascii="仿宋_GB2312" w:hAnsi="仿宋_GB2312" w:cs="仿宋_GB2312" w:eastAsia="仿宋_GB2312"/>
              </w:rPr>
              <w:t>（11）OPS电脑模块：CPU Intel 不低于i7；内存不低于16G；固态硬盘不低于512G。</w:t>
            </w:r>
          </w:p>
          <w:p>
            <w:pPr>
              <w:pStyle w:val="null3"/>
            </w:pPr>
            <w:r>
              <w:rPr>
                <w:rFonts w:ascii="仿宋_GB2312" w:hAnsi="仿宋_GB2312" w:cs="仿宋_GB2312" w:eastAsia="仿宋_GB2312"/>
              </w:rPr>
              <w:t>（12）免费提供所有仪器设备的安装以及调试服务，所需配件均由供应商提供。</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合同签订后接采购人通知后90个日历日完成供货并交付采购人使用。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西安理工大学金花校区教六楼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设备运抵招标人指定地点并经招标人初步查验无误后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设备安装调试完成，经招标人验收合格并签署《验收合格报告》后，中标人开具全额合法有效的增值税专用发票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运输责任：运输由中标人负责，运杂费已包含在合同总价内。包括从货物供应地点运送至交付地点所含的运输费、装卸费、仓储费、保险费等一切直接费、间接费；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设备免费质保期限为 3 年，时间按所有货物验收合格之日算起。质保期内免费上门服务响应时间4小时，12小时内解决存在问题。质保期内货物不能及时维修时，供应商应向采购人提供相同的设备，以保证采购人的正常使用。质保期外的维修，供应商只收取材料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合同违约情况按《中华人民共和国民法典》中的相关条款执行。2、甲乙双方必须遵守本合同并执行合同中的各项规定，保证本合同的正常履行。3、如因乙方工作人员在履行职务过程中的疏忽、失职、过错等故意或者过失原因给甲方造成损失或侵害，包括但不限于甲方本身的财产损失、由此而导致的甲方对任何第三方的法律责任等，乙方对此均应承担全部的赔偿责任。4、未按合同要求提供设备或提供的设备质量或规格不能满足技术要求，甲方有权终止合同并对乙方违约行为进行追究，同时按政府采购法的有关规定进行相应的处罚。 解决合同纠纷的方式 1、在执行本合同中发生的或与本合同有关的争端，双方应通过友好协商解决，经协商不能达成协议时，则采取以下第2种方式解决争议： （1）向甲方所在地有管辖权的人民法院提起诉讼；（2）向西安仲裁委员会按其仲裁规则申请仲裁。 2、在仲裁期间，本合同应继续履行。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3.4.4支付约定为系统固定推述内容，具体付款方式以下列内容为准：合同签订后5个工作日内，招标人向中标人预付合同总价的40%；设备运抵招标人指定地点并经招标人初步查验无误后7个工作日内，招标人向中标人支付合同总价的30%；设备安装调试完成，经招标人验收合格并签署《验收合格报告》后，中标人开具全额合法有效的增值税专用发票，招标人7个工作日内向乙方支付合同总价的30%。 2.用保函形式缴纳投标保证金的投标人应按照陕西省政府采购网的相关要求进行递交，同时还需在投标截止时间前将保函扫描成清晰的PDF文件发送至邮箱1253677747@qq.com（邮件命名：项目编号+项目名称） 3.用转账形式缴纳投标保证金的投标人转账时需备注项目名称+投标保证金； 4.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本项目为非专门面向中小企业采购项目</w:t>
            </w:r>
          </w:p>
        </w:tc>
        <w:tc>
          <w:tcPr>
            <w:tcW w:type="dxa" w:w="3322"/>
          </w:tcPr>
          <w:p>
            <w:pPr>
              <w:pStyle w:val="null3"/>
            </w:pPr>
            <w:r>
              <w:rPr>
                <w:rFonts w:ascii="仿宋_GB2312" w:hAnsi="仿宋_GB2312" w:cs="仿宋_GB2312" w:eastAsia="仿宋_GB2312"/>
              </w:rPr>
              <w:t>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是否存在法律、法规和招标文件规定的其他无效情形</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 1.完全满足采购技术要求的，得33.50分； 2.“▲”项技术参数为重要参数，每负偏离一项扣1分，扣完为止； 3.无标识参数为一般参数，每负偏离一项扣0.5分，扣完为止； 注：投标人对所投产品“▲”项参数须提供相应的佐证材料（包括但不限于产品彩页或官网截图或产品白皮书或技术规格表或国家认可的第三方检测报告等）并加盖投标人公章，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33.5000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投标人提供的提供的实施方案需包含（1）供货计划；（2）配送与交付运输方案；（3）安装调试方案；（4）进度保证措施；（5）质量保证措施；（6）应急保障，共6项内容，每项满分3分，总分18分。 其中，6项具体内容与本项目及所投产品的①针对性、②可行性、③方案完善性作为采分点；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投标人提供的提供的售后服务方案需包含（1）售后响应时间；（2）应急处理方案；（3）售后巡查及质量跟踪方案，共3项内容，每项满分3分，总分9分。 其中，3项具体内容与本项目及所投产品的①针对性、②可行性、③方案完善性作为采分点；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投标人提供的培训方案需包含培训内容、方式、人员安排及培训课程计划，共1项内容，满分3分，总分3分。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投标人针对本项目提供有利于本项目开展的其他承诺（例如：增值服务、优惠条件、人性化设计等），每提供一项承诺得1分，最多得2分；（承诺书格式自拟）未提供不得分。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投标人提供自2023年4月1日至投标文件递交截止时间前的类似项目业绩证明材料。每提供1个完整合同复印件的得1.5分，满分4.5分。 注：以合同签订时间为准，投标人应在投标文件中提供完整业绩合同复印件或扫描件并加盖单位公章。</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