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版本号：SXWZ2026ZB-STY-01920260402001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运营隧道维护多功能作业台车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SXWZ2026ZB-STY-019</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运营隧道维护多功能作业台车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SXWZ2026ZB-STY-019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运营隧道维护多功能作业台车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运营隧道维护多功能作业台车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3、税收缴纳证明：供应商提供本单位2025年10月至今已缴纳的至少一个月纳税证明或完税证明，依法免税的单位应提供相关证明材料（时间以税款所属时期为准）；</w:t>
      </w:r>
    </w:p>
    <w:p>
      <w:pPr>
        <w:pStyle w:val="null3"/>
      </w:pPr>
      <w:r>
        <w:rPr>
          <w:rFonts w:ascii="仿宋_GB2312" w:hAnsi="仿宋_GB2312" w:cs="仿宋_GB2312" w:eastAsia="仿宋_GB2312"/>
        </w:rPr>
        <w:t>4、社会保障资金缴纳证明：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6、法定代表人授权书：非法定代表人参加投标，须提供法定代表人授权委托书及被授权人身份证；法定代表人参加投标时,须提供法定代表人身份证明书；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7、本项目不接受联合体投标：非联合体投标声明。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代理服务费收费标准：中标服务费参照《招标代理服务收费暂行办法》（计价格[2002]1980 号）文件规定标准下浮20%计取。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w:t>
      </w:r>
    </w:p>
    <w:p>
      <w:pPr>
        <w:pStyle w:val="null3"/>
      </w:pPr>
      <w:r>
        <w:rPr>
          <w:rFonts w:ascii="仿宋_GB2312" w:hAnsi="仿宋_GB2312" w:cs="仿宋_GB2312" w:eastAsia="仿宋_GB2312"/>
        </w:rPr>
        <w:t>联系电话：029-88319689-8007</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运营隧道维护多功能作业台车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运营隧道维护多功能作业台车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标的名称：运营隧道维护多功能作业台车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8"/>
              <w:gridCol w:w="2305"/>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2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功能技术指标</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运营隧道维护多功能作业台车（</w:t>
                  </w:r>
                  <w:r>
                    <w:rPr>
                      <w:rFonts w:ascii="仿宋_GB2312" w:hAnsi="仿宋_GB2312" w:cs="仿宋_GB2312" w:eastAsia="仿宋_GB2312"/>
                      <w:sz w:val="21"/>
                      <w:color w:val="000000"/>
                    </w:rPr>
                    <w:t>1套</w:t>
                  </w:r>
                  <w:r>
                    <w:rPr>
                      <w:rFonts w:ascii="仿宋_GB2312" w:hAnsi="仿宋_GB2312" w:cs="仿宋_GB2312" w:eastAsia="仿宋_GB2312"/>
                      <w:sz w:val="21"/>
                      <w:color w:val="000000"/>
                    </w:rPr>
                    <w:t>）</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一、技术参数</w:t>
                  </w:r>
                </w:p>
                <w:p>
                  <w:pPr>
                    <w:pStyle w:val="null3"/>
                    <w:ind w:firstLine="420"/>
                    <w:jc w:val="both"/>
                  </w:pPr>
                  <w:r>
                    <w:rPr>
                      <w:rFonts w:ascii="仿宋_GB2312" w:hAnsi="仿宋_GB2312" w:cs="仿宋_GB2312" w:eastAsia="仿宋_GB2312"/>
                      <w:sz w:val="21"/>
                      <w:color w:val="000000"/>
                    </w:rPr>
                    <w:t>1.适用范围：运营铁路/公路隧道病害机械化整治作业。</w:t>
                  </w:r>
                </w:p>
                <w:p>
                  <w:pPr>
                    <w:pStyle w:val="null3"/>
                    <w:ind w:firstLine="420"/>
                    <w:jc w:val="both"/>
                  </w:pPr>
                  <w:r>
                    <w:rPr>
                      <w:rFonts w:ascii="仿宋_GB2312" w:hAnsi="仿宋_GB2312" w:cs="仿宋_GB2312" w:eastAsia="仿宋_GB2312"/>
                      <w:sz w:val="21"/>
                      <w:color w:val="000000"/>
                    </w:rPr>
                    <w:t>2.技术参数</w:t>
                  </w:r>
                </w:p>
                <w:p>
                  <w:pPr>
                    <w:pStyle w:val="null3"/>
                    <w:ind w:firstLine="420"/>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整机参数</w:t>
                  </w:r>
                </w:p>
                <w:p>
                  <w:pPr>
                    <w:pStyle w:val="null3"/>
                    <w:numPr>
                      <w:ilvl w:val="0"/>
                      <w:numId w:val="1"/>
                    </w:numPr>
                    <w:jc w:val="both"/>
                  </w:pP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≥18000kg；</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≥85kW；</w:t>
                  </w:r>
                </w:p>
                <w:p>
                  <w:pPr>
                    <w:pStyle w:val="null3"/>
                    <w:numPr>
                      <w:ilvl w:val="0"/>
                      <w:numId w:val="1"/>
                    </w:numPr>
                    <w:jc w:val="both"/>
                  </w:pPr>
                  <w:r>
                    <w:rPr>
                      <w:rFonts w:ascii="仿宋_GB2312" w:hAnsi="仿宋_GB2312" w:cs="仿宋_GB2312" w:eastAsia="仿宋_GB2312"/>
                      <w:sz w:val="21"/>
                      <w:color w:val="000000"/>
                    </w:rPr>
                    <w:t>爬坡能力</w:t>
                  </w:r>
                  <w:r>
                    <w:rPr>
                      <w:rFonts w:ascii="仿宋_GB2312" w:hAnsi="仿宋_GB2312" w:cs="仿宋_GB2312" w:eastAsia="仿宋_GB2312"/>
                      <w:sz w:val="21"/>
                      <w:color w:val="000000"/>
                    </w:rPr>
                    <w:t>≥30°；</w:t>
                  </w:r>
                </w:p>
                <w:p>
                  <w:pPr>
                    <w:pStyle w:val="null3"/>
                    <w:numPr>
                      <w:ilvl w:val="0"/>
                      <w:numId w:val="1"/>
                    </w:numPr>
                    <w:jc w:val="both"/>
                  </w:pPr>
                  <w:r>
                    <w:rPr>
                      <w:rFonts w:ascii="仿宋_GB2312" w:hAnsi="仿宋_GB2312" w:cs="仿宋_GB2312" w:eastAsia="仿宋_GB2312"/>
                      <w:sz w:val="21"/>
                      <w:color w:val="000000"/>
                    </w:rPr>
                    <w:t>液压系统最大压力</w:t>
                  </w:r>
                  <w:r>
                    <w:rPr>
                      <w:rFonts w:ascii="仿宋_GB2312" w:hAnsi="仿宋_GB2312" w:cs="仿宋_GB2312" w:eastAsia="仿宋_GB2312"/>
                      <w:sz w:val="21"/>
                      <w:color w:val="000000"/>
                    </w:rPr>
                    <w:t>≥30MPa；</w:t>
                  </w:r>
                </w:p>
                <w:p>
                  <w:pPr>
                    <w:pStyle w:val="null3"/>
                    <w:numPr>
                      <w:ilvl w:val="0"/>
                      <w:numId w:val="1"/>
                    </w:numPr>
                    <w:jc w:val="both"/>
                  </w:pPr>
                  <w:r>
                    <w:rPr>
                      <w:rFonts w:ascii="仿宋_GB2312" w:hAnsi="仿宋_GB2312" w:cs="仿宋_GB2312" w:eastAsia="仿宋_GB2312"/>
                      <w:sz w:val="21"/>
                      <w:color w:val="000000"/>
                    </w:rPr>
                    <w:t>液压系统流量</w:t>
                  </w:r>
                  <w:r>
                    <w:rPr>
                      <w:rFonts w:ascii="仿宋_GB2312" w:hAnsi="仿宋_GB2312" w:cs="仿宋_GB2312" w:eastAsia="仿宋_GB2312"/>
                      <w:sz w:val="21"/>
                      <w:color w:val="000000"/>
                    </w:rPr>
                    <w:t>≥220L/min；</w:t>
                  </w:r>
                </w:p>
                <w:p>
                  <w:pPr>
                    <w:pStyle w:val="null3"/>
                    <w:numPr>
                      <w:ilvl w:val="0"/>
                      <w:numId w:val="1"/>
                    </w:numPr>
                    <w:jc w:val="both"/>
                  </w:pPr>
                  <w:r>
                    <w:rPr>
                      <w:rFonts w:ascii="仿宋_GB2312" w:hAnsi="仿宋_GB2312" w:cs="仿宋_GB2312" w:eastAsia="仿宋_GB2312"/>
                      <w:sz w:val="21"/>
                      <w:color w:val="000000"/>
                    </w:rPr>
                    <w:t>工作高度</w:t>
                  </w:r>
                  <w:r>
                    <w:rPr>
                      <w:rFonts w:ascii="仿宋_GB2312" w:hAnsi="仿宋_GB2312" w:cs="仿宋_GB2312" w:eastAsia="仿宋_GB2312"/>
                      <w:sz w:val="21"/>
                      <w:color w:val="000000"/>
                    </w:rPr>
                    <w:t>≥6500mm，且可调；</w:t>
                  </w:r>
                </w:p>
                <w:p>
                  <w:pPr>
                    <w:pStyle w:val="null3"/>
                    <w:ind w:firstLine="420"/>
                    <w:jc w:val="both"/>
                  </w:pPr>
                  <w:r>
                    <w:rPr>
                      <w:rFonts w:ascii="仿宋_GB2312" w:hAnsi="仿宋_GB2312" w:cs="仿宋_GB2312" w:eastAsia="仿宋_GB2312"/>
                      <w:sz w:val="21"/>
                      <w:color w:val="000000"/>
                    </w:rPr>
                    <w:t>2.2具备行走功能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1）履带行驶，最大行驶速度≥5km/h，履带轨距≥1990mm；</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具备铁路走行功能，前后布置走行导向装置，轨道轮直径</w:t>
                  </w:r>
                  <w:r>
                    <w:rPr>
                      <w:rFonts w:ascii="仿宋_GB2312" w:hAnsi="仿宋_GB2312" w:cs="仿宋_GB2312" w:eastAsia="仿宋_GB2312"/>
                      <w:sz w:val="21"/>
                      <w:color w:val="000000"/>
                    </w:rPr>
                    <w:t>400mm，铁路最大行驶速度≥20km/h，适用轨距为1435mm，带柔性刹车装置，刹车距离≤5m，可在紧急情况下切换为空挡模式，外接动力快速接口大小M30，外接柔性牵引接口尺寸ϕ28mm，履带架空高度≥15cm；</w:t>
                  </w:r>
                </w:p>
                <w:p>
                  <w:pPr>
                    <w:pStyle w:val="null3"/>
                    <w:ind w:firstLine="420"/>
                    <w:jc w:val="both"/>
                  </w:pPr>
                  <w:r>
                    <w:rPr>
                      <w:rFonts w:ascii="仿宋_GB2312" w:hAnsi="仿宋_GB2312" w:cs="仿宋_GB2312" w:eastAsia="仿宋_GB2312"/>
                      <w:sz w:val="21"/>
                      <w:color w:val="000000"/>
                    </w:rPr>
                    <w:t>2.3锚杆孔钻孔装置</w:t>
                  </w:r>
                </w:p>
                <w:p>
                  <w:pPr>
                    <w:pStyle w:val="null3"/>
                    <w:ind w:firstLine="420"/>
                    <w:jc w:val="both"/>
                  </w:pPr>
                  <w:r>
                    <w:rPr>
                      <w:rFonts w:ascii="仿宋_GB2312" w:hAnsi="仿宋_GB2312" w:cs="仿宋_GB2312" w:eastAsia="仿宋_GB2312"/>
                      <w:sz w:val="21"/>
                      <w:color w:val="000000"/>
                    </w:rPr>
                    <w:t>2.3.1</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可实现隧道径向锚杆孔作业，钻孔速度平均</w:t>
                  </w:r>
                  <w:r>
                    <w:rPr>
                      <w:rFonts w:ascii="仿宋_GB2312" w:hAnsi="仿宋_GB2312" w:cs="仿宋_GB2312" w:eastAsia="仿宋_GB2312"/>
                      <w:sz w:val="21"/>
                      <w:color w:val="000000"/>
                    </w:rPr>
                    <w:t>1m/min；</w:t>
                  </w:r>
                </w:p>
                <w:p>
                  <w:pPr>
                    <w:pStyle w:val="null3"/>
                    <w:ind w:firstLine="420"/>
                    <w:jc w:val="both"/>
                  </w:pPr>
                  <w:r>
                    <w:rPr>
                      <w:rFonts w:ascii="仿宋_GB2312" w:hAnsi="仿宋_GB2312" w:cs="仿宋_GB2312" w:eastAsia="仿宋_GB2312"/>
                      <w:sz w:val="21"/>
                      <w:color w:val="000000"/>
                    </w:rPr>
                    <w:t>2.3.2</w:t>
                  </w:r>
                  <w:r>
                    <w:rPr>
                      <w:rFonts w:ascii="仿宋_GB2312" w:hAnsi="仿宋_GB2312" w:cs="仿宋_GB2312" w:eastAsia="仿宋_GB2312"/>
                      <w:sz w:val="21"/>
                      <w:color w:val="000000"/>
                    </w:rPr>
                    <w:t>▲</w:t>
                  </w:r>
                  <w:r>
                    <w:rPr>
                      <w:rFonts w:ascii="仿宋_GB2312" w:hAnsi="仿宋_GB2312" w:cs="仿宋_GB2312" w:eastAsia="仿宋_GB2312"/>
                      <w:sz w:val="21"/>
                      <w:color w:val="000000"/>
                    </w:rPr>
                    <w:t>钻孔设备推进系统采用油缸</w:t>
                  </w:r>
                  <w:r>
                    <w:rPr>
                      <w:rFonts w:ascii="仿宋_GB2312" w:hAnsi="仿宋_GB2312" w:cs="仿宋_GB2312" w:eastAsia="仿宋_GB2312"/>
                      <w:sz w:val="21"/>
                      <w:color w:val="000000"/>
                    </w:rPr>
                    <w:t>+钢丝绳，设计有盘管器，推进梁总长≥4.5m，不接杆一次钻孔深度≥3m，钻孔孔径40-105mm，液压冲击动力总成功率≥10kW，配置一键钻进智能钻孔系统；</w:t>
                  </w:r>
                </w:p>
                <w:p>
                  <w:pPr>
                    <w:pStyle w:val="null3"/>
                    <w:ind w:firstLine="420"/>
                    <w:jc w:val="both"/>
                  </w:pPr>
                  <w:r>
                    <w:rPr>
                      <w:rFonts w:ascii="仿宋_GB2312" w:hAnsi="仿宋_GB2312" w:cs="仿宋_GB2312" w:eastAsia="仿宋_GB2312"/>
                      <w:sz w:val="21"/>
                      <w:color w:val="000000"/>
                    </w:rPr>
                    <w:t>2.3.3</w:t>
                  </w:r>
                  <w:r>
                    <w:rPr>
                      <w:rFonts w:ascii="仿宋_GB2312" w:hAnsi="仿宋_GB2312" w:cs="仿宋_GB2312" w:eastAsia="仿宋_GB2312"/>
                      <w:sz w:val="21"/>
                      <w:color w:val="000000"/>
                    </w:rPr>
                    <w:t>▲</w:t>
                  </w:r>
                  <w:r>
                    <w:rPr>
                      <w:rFonts w:ascii="仿宋_GB2312" w:hAnsi="仿宋_GB2312" w:cs="仿宋_GB2312" w:eastAsia="仿宋_GB2312"/>
                      <w:sz w:val="21"/>
                      <w:color w:val="000000"/>
                    </w:rPr>
                    <w:t>设计有</w:t>
                  </w:r>
                  <w:r>
                    <w:rPr>
                      <w:rFonts w:ascii="仿宋_GB2312" w:hAnsi="仿宋_GB2312" w:cs="仿宋_GB2312" w:eastAsia="仿宋_GB2312"/>
                      <w:sz w:val="21"/>
                      <w:color w:val="000000"/>
                    </w:rPr>
                    <w:t>360°双回转机构，钻孔范围可覆盖拱顶、拱腰、边墙及底板作业，</w:t>
                  </w:r>
                </w:p>
                <w:p>
                  <w:pPr>
                    <w:pStyle w:val="null3"/>
                    <w:ind w:firstLine="420"/>
                    <w:jc w:val="both"/>
                  </w:pPr>
                  <w:r>
                    <w:rPr>
                      <w:rFonts w:ascii="仿宋_GB2312" w:hAnsi="仿宋_GB2312" w:cs="仿宋_GB2312" w:eastAsia="仿宋_GB2312"/>
                      <w:sz w:val="21"/>
                      <w:color w:val="000000"/>
                    </w:rPr>
                    <w:t>2.3.4紧急情况下可手动调节推进梁，可回收至大臂方向。</w:t>
                  </w:r>
                </w:p>
                <w:p>
                  <w:pPr>
                    <w:pStyle w:val="null3"/>
                    <w:ind w:firstLine="420"/>
                    <w:jc w:val="both"/>
                  </w:pPr>
                  <w:r>
                    <w:rPr>
                      <w:rFonts w:ascii="仿宋_GB2312" w:hAnsi="仿宋_GB2312" w:cs="仿宋_GB2312" w:eastAsia="仿宋_GB2312"/>
                      <w:sz w:val="21"/>
                      <w:color w:val="000000"/>
                    </w:rPr>
                    <w:t>2.4开槽装置</w:t>
                  </w:r>
                </w:p>
                <w:p>
                  <w:pPr>
                    <w:pStyle w:val="null3"/>
                    <w:ind w:firstLine="420"/>
                    <w:jc w:val="both"/>
                  </w:pPr>
                  <w:r>
                    <w:rPr>
                      <w:rFonts w:ascii="仿宋_GB2312" w:hAnsi="仿宋_GB2312" w:cs="仿宋_GB2312" w:eastAsia="仿宋_GB2312"/>
                      <w:sz w:val="21"/>
                      <w:color w:val="000000"/>
                    </w:rPr>
                    <w:t>2.4.1</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可实现隧道衬砌一次切削成槽作业，无需人工辅助；</w:t>
                  </w:r>
                </w:p>
                <w:p>
                  <w:pPr>
                    <w:pStyle w:val="null3"/>
                    <w:ind w:firstLine="420"/>
                    <w:jc w:val="both"/>
                  </w:pPr>
                  <w:r>
                    <w:rPr>
                      <w:rFonts w:ascii="仿宋_GB2312" w:hAnsi="仿宋_GB2312" w:cs="仿宋_GB2312" w:eastAsia="仿宋_GB2312"/>
                      <w:sz w:val="21"/>
                      <w:color w:val="000000"/>
                    </w:rPr>
                    <w:t>2.4.2</w:t>
                  </w:r>
                  <w:r>
                    <w:rPr>
                      <w:rFonts w:ascii="仿宋_GB2312" w:hAnsi="仿宋_GB2312" w:cs="仿宋_GB2312" w:eastAsia="仿宋_GB2312"/>
                      <w:sz w:val="21"/>
                      <w:color w:val="000000"/>
                    </w:rPr>
                    <w:t>▲</w:t>
                  </w:r>
                  <w:r>
                    <w:rPr>
                      <w:rFonts w:ascii="仿宋_GB2312" w:hAnsi="仿宋_GB2312" w:cs="仿宋_GB2312" w:eastAsia="仿宋_GB2312"/>
                      <w:sz w:val="21"/>
                      <w:color w:val="000000"/>
                    </w:rPr>
                    <w:t>开槽宽度可调，最大开槽宽度</w:t>
                  </w:r>
                  <w:r>
                    <w:rPr>
                      <w:rFonts w:ascii="仿宋_GB2312" w:hAnsi="仿宋_GB2312" w:cs="仿宋_GB2312" w:eastAsia="仿宋_GB2312"/>
                      <w:sz w:val="21"/>
                      <w:color w:val="000000"/>
                    </w:rPr>
                    <w:t>210mm，最大开槽深度210mm，平均开槽效率0.2m/min；</w:t>
                  </w:r>
                </w:p>
                <w:p>
                  <w:pPr>
                    <w:pStyle w:val="null3"/>
                    <w:ind w:firstLine="420"/>
                    <w:jc w:val="both"/>
                  </w:pPr>
                  <w:r>
                    <w:rPr>
                      <w:rFonts w:ascii="仿宋_GB2312" w:hAnsi="仿宋_GB2312" w:cs="仿宋_GB2312" w:eastAsia="仿宋_GB2312"/>
                      <w:sz w:val="21"/>
                      <w:color w:val="000000"/>
                    </w:rPr>
                    <w:t>2.4.3开槽作业具备水雾降尘功能；</w:t>
                  </w:r>
                </w:p>
                <w:p>
                  <w:pPr>
                    <w:pStyle w:val="null3"/>
                    <w:ind w:firstLine="420"/>
                    <w:jc w:val="both"/>
                  </w:pPr>
                  <w:r>
                    <w:rPr>
                      <w:rFonts w:ascii="仿宋_GB2312" w:hAnsi="仿宋_GB2312" w:cs="仿宋_GB2312" w:eastAsia="仿宋_GB2312"/>
                      <w:sz w:val="21"/>
                      <w:color w:val="000000"/>
                    </w:rPr>
                    <w:t>2.4.4开槽转速0-300r/min可调。</w:t>
                  </w:r>
                </w:p>
                <w:p>
                  <w:pPr>
                    <w:pStyle w:val="null3"/>
                    <w:ind w:firstLine="420"/>
                    <w:jc w:val="both"/>
                  </w:pPr>
                  <w:r>
                    <w:rPr>
                      <w:rFonts w:ascii="仿宋_GB2312" w:hAnsi="仿宋_GB2312" w:cs="仿宋_GB2312" w:eastAsia="仿宋_GB2312"/>
                      <w:sz w:val="21"/>
                      <w:color w:val="000000"/>
                    </w:rPr>
                    <w:t>2.5多模式凿毛装置</w:t>
                  </w:r>
                </w:p>
                <w:p>
                  <w:pPr>
                    <w:pStyle w:val="null3"/>
                    <w:ind w:firstLine="420"/>
                    <w:jc w:val="both"/>
                  </w:pPr>
                  <w:r>
                    <w:rPr>
                      <w:rFonts w:ascii="仿宋_GB2312" w:hAnsi="仿宋_GB2312" w:cs="仿宋_GB2312" w:eastAsia="仿宋_GB2312"/>
                      <w:sz w:val="21"/>
                      <w:color w:val="000000"/>
                    </w:rPr>
                    <w:t>2.5.1</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可实现多种形式凿毛作业，单次凿毛深度</w:t>
                  </w:r>
                  <w:r>
                    <w:rPr>
                      <w:rFonts w:ascii="仿宋_GB2312" w:hAnsi="仿宋_GB2312" w:cs="仿宋_GB2312" w:eastAsia="仿宋_GB2312"/>
                      <w:sz w:val="21"/>
                      <w:color w:val="000000"/>
                    </w:rPr>
                    <w:t>≥2cm，凿毛效率≥65m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/h；</w:t>
                  </w:r>
                </w:p>
                <w:p>
                  <w:pPr>
                    <w:pStyle w:val="null3"/>
                    <w:ind w:firstLine="420"/>
                    <w:jc w:val="both"/>
                  </w:pPr>
                  <w:r>
                    <w:rPr>
                      <w:rFonts w:ascii="仿宋_GB2312" w:hAnsi="仿宋_GB2312" w:cs="仿宋_GB2312" w:eastAsia="仿宋_GB2312"/>
                      <w:sz w:val="21"/>
                      <w:color w:val="000000"/>
                    </w:rPr>
                    <w:t>2.5.2</w:t>
                  </w:r>
                  <w:r>
                    <w:rPr>
                      <w:rFonts w:ascii="仿宋_GB2312" w:hAnsi="仿宋_GB2312" w:cs="仿宋_GB2312" w:eastAsia="仿宋_GB2312"/>
                      <w:sz w:val="21"/>
                      <w:color w:val="000000"/>
                    </w:rPr>
                    <w:t>▲</w:t>
                  </w:r>
                  <w:r>
                    <w:rPr>
                      <w:rFonts w:ascii="仿宋_GB2312" w:hAnsi="仿宋_GB2312" w:cs="仿宋_GB2312" w:eastAsia="仿宋_GB2312"/>
                      <w:sz w:val="21"/>
                      <w:color w:val="000000"/>
                    </w:rPr>
                    <w:t>凿毛设备可实现刀盘式凿毛，单次凿毛直径</w:t>
                  </w:r>
                  <w:r>
                    <w:rPr>
                      <w:rFonts w:ascii="仿宋_GB2312" w:hAnsi="仿宋_GB2312" w:cs="仿宋_GB2312" w:eastAsia="仿宋_GB2312"/>
                      <w:sz w:val="21"/>
                      <w:color w:val="000000"/>
                    </w:rPr>
                    <w:t>≥400mm。</w:t>
                  </w:r>
                </w:p>
                <w:p>
                  <w:pPr>
                    <w:pStyle w:val="null3"/>
                    <w:ind w:firstLine="420"/>
                    <w:jc w:val="both"/>
                  </w:pPr>
                  <w:r>
                    <w:rPr>
                      <w:rFonts w:ascii="仿宋_GB2312" w:hAnsi="仿宋_GB2312" w:cs="仿宋_GB2312" w:eastAsia="仿宋_GB2312"/>
                      <w:sz w:val="21"/>
                      <w:color w:val="000000"/>
                    </w:rPr>
                    <w:t>2.6混凝土喷射系统</w:t>
                  </w:r>
                </w:p>
                <w:p>
                  <w:pPr>
                    <w:pStyle w:val="null3"/>
                    <w:ind w:firstLine="420"/>
                    <w:jc w:val="both"/>
                  </w:pPr>
                  <w:r>
                    <w:rPr>
                      <w:rFonts w:ascii="仿宋_GB2312" w:hAnsi="仿宋_GB2312" w:cs="仿宋_GB2312" w:eastAsia="仿宋_GB2312"/>
                      <w:sz w:val="21"/>
                      <w:color w:val="000000"/>
                    </w:rPr>
                    <w:t>2.6.1遥控距离≥100m；</w:t>
                  </w:r>
                </w:p>
                <w:p>
                  <w:pPr>
                    <w:pStyle w:val="null3"/>
                    <w:ind w:firstLine="420"/>
                    <w:jc w:val="both"/>
                  </w:pPr>
                  <w:r>
                    <w:rPr>
                      <w:rFonts w:ascii="仿宋_GB2312" w:hAnsi="仿宋_GB2312" w:cs="仿宋_GB2312" w:eastAsia="仿宋_GB2312"/>
                      <w:sz w:val="21"/>
                      <w:color w:val="000000"/>
                    </w:rPr>
                    <w:t>2.6.2喷射效率≥7m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p>
                <w:p>
                  <w:pPr>
                    <w:pStyle w:val="null3"/>
                    <w:ind w:firstLine="420"/>
                    <w:jc w:val="both"/>
                  </w:pPr>
                  <w:r>
                    <w:rPr>
                      <w:rFonts w:ascii="仿宋_GB2312" w:hAnsi="仿宋_GB2312" w:cs="仿宋_GB2312" w:eastAsia="仿宋_GB2312"/>
                      <w:sz w:val="21"/>
                      <w:color w:val="000000"/>
                    </w:rPr>
                    <w:t>2.6.3伸缩臂平移距离≥1m；</w:t>
                  </w:r>
                </w:p>
                <w:p>
                  <w:pPr>
                    <w:pStyle w:val="null3"/>
                    <w:ind w:firstLine="420"/>
                    <w:jc w:val="both"/>
                  </w:pPr>
                  <w:r>
                    <w:rPr>
                      <w:rFonts w:ascii="仿宋_GB2312" w:hAnsi="仿宋_GB2312" w:cs="仿宋_GB2312" w:eastAsia="仿宋_GB2312"/>
                      <w:sz w:val="21"/>
                      <w:color w:val="000000"/>
                    </w:rPr>
                    <w:t>2.6.4</w:t>
                  </w:r>
                  <w:r>
                    <w:rPr>
                      <w:rFonts w:ascii="仿宋_GB2312" w:hAnsi="仿宋_GB2312" w:cs="仿宋_GB2312" w:eastAsia="仿宋_GB2312"/>
                      <w:sz w:val="21"/>
                      <w:color w:val="000000"/>
                    </w:rPr>
                    <w:t>▲</w:t>
                  </w:r>
                  <w:r>
                    <w:rPr>
                      <w:rFonts w:ascii="仿宋_GB2312" w:hAnsi="仿宋_GB2312" w:cs="仿宋_GB2312" w:eastAsia="仿宋_GB2312"/>
                      <w:sz w:val="21"/>
                      <w:color w:val="000000"/>
                    </w:rPr>
                    <w:t>混凝土搅拌、运输、喷射一体机容量</w:t>
                  </w:r>
                  <w:r>
                    <w:rPr>
                      <w:rFonts w:ascii="仿宋_GB2312" w:hAnsi="仿宋_GB2312" w:cs="仿宋_GB2312" w:eastAsia="仿宋_GB2312"/>
                      <w:sz w:val="21"/>
                      <w:color w:val="000000"/>
                    </w:rPr>
                    <w:t>≥3m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，效率</w:t>
                  </w:r>
                  <w:r>
                    <w:rPr>
                      <w:rFonts w:ascii="仿宋_GB2312" w:hAnsi="仿宋_GB2312" w:cs="仿宋_GB2312" w:eastAsia="仿宋_GB2312"/>
                      <w:sz w:val="21"/>
                      <w:color w:val="000000"/>
                    </w:rPr>
                    <w:t>≥7 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/h，铁路作业速度≥10 km/h；</w:t>
                  </w:r>
                </w:p>
                <w:p>
                  <w:pPr>
                    <w:pStyle w:val="null3"/>
                    <w:ind w:firstLine="420"/>
                    <w:jc w:val="both"/>
                  </w:pPr>
                  <w:r>
                    <w:rPr>
                      <w:rFonts w:ascii="仿宋_GB2312" w:hAnsi="仿宋_GB2312" w:cs="仿宋_GB2312" w:eastAsia="仿宋_GB2312"/>
                      <w:sz w:val="21"/>
                      <w:color w:val="000000"/>
                    </w:rPr>
                    <w:t>2.6.5喷射工作压力0.4-0.6MPa；</w:t>
                  </w:r>
                </w:p>
                <w:p>
                  <w:pPr>
                    <w:pStyle w:val="null3"/>
                    <w:ind w:firstLine="420"/>
                    <w:jc w:val="both"/>
                  </w:pPr>
                  <w:r>
                    <w:rPr>
                      <w:rFonts w:ascii="仿宋_GB2312" w:hAnsi="仿宋_GB2312" w:cs="仿宋_GB2312" w:eastAsia="仿宋_GB2312"/>
                      <w:sz w:val="21"/>
                      <w:color w:val="000000"/>
                    </w:rPr>
                    <w:t>2.6.6喷射功率≥7.5kW；</w:t>
                  </w:r>
                </w:p>
                <w:p>
                  <w:pPr>
                    <w:pStyle w:val="null3"/>
                    <w:ind w:firstLine="420"/>
                    <w:jc w:val="both"/>
                  </w:pPr>
                  <w:r>
                    <w:rPr>
                      <w:rFonts w:ascii="仿宋_GB2312" w:hAnsi="仿宋_GB2312" w:cs="仿宋_GB2312" w:eastAsia="仿宋_GB2312"/>
                      <w:sz w:val="21"/>
                      <w:color w:val="000000"/>
                    </w:rPr>
                    <w:t>2.6.7喷射最大骨料直径20mm；</w:t>
                  </w:r>
                </w:p>
                <w:p>
                  <w:pPr>
                    <w:pStyle w:val="null3"/>
                    <w:ind w:firstLine="420"/>
                    <w:jc w:val="both"/>
                  </w:pPr>
                  <w:r>
                    <w:rPr>
                      <w:rFonts w:ascii="仿宋_GB2312" w:hAnsi="仿宋_GB2312" w:cs="仿宋_GB2312" w:eastAsia="仿宋_GB2312"/>
                      <w:sz w:val="21"/>
                      <w:color w:val="000000"/>
                    </w:rPr>
                    <w:t>2.6.8喷射机为转轴式固定。</w:t>
                  </w:r>
                </w:p>
                <w:p>
                  <w:pPr>
                    <w:pStyle w:val="null3"/>
                    <w:ind w:firstLine="420"/>
                    <w:jc w:val="both"/>
                  </w:pPr>
                  <w:r>
                    <w:rPr>
                      <w:rFonts w:ascii="仿宋_GB2312" w:hAnsi="仿宋_GB2312" w:cs="仿宋_GB2312" w:eastAsia="仿宋_GB2312"/>
                      <w:sz w:val="21"/>
                      <w:color w:val="000000"/>
                    </w:rPr>
                    <w:t>2.7机动式锚注作业高空平台</w:t>
                  </w:r>
                </w:p>
                <w:p>
                  <w:pPr>
                    <w:pStyle w:val="null3"/>
                    <w:ind w:firstLine="420"/>
                    <w:jc w:val="both"/>
                  </w:pPr>
                  <w:r>
                    <w:rPr>
                      <w:rFonts w:ascii="仿宋_GB2312" w:hAnsi="仿宋_GB2312" w:cs="仿宋_GB2312" w:eastAsia="仿宋_GB2312"/>
                      <w:sz w:val="21"/>
                      <w:color w:val="000000"/>
                    </w:rPr>
                    <w:t>2.7.1</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具备储料、自动制浆、注浆、作业平台功能；</w:t>
                  </w:r>
                </w:p>
                <w:p>
                  <w:pPr>
                    <w:pStyle w:val="null3"/>
                    <w:ind w:firstLine="420"/>
                    <w:jc w:val="both"/>
                  </w:pPr>
                  <w:r>
                    <w:rPr>
                      <w:rFonts w:ascii="仿宋_GB2312" w:hAnsi="仿宋_GB2312" w:cs="仿宋_GB2312" w:eastAsia="仿宋_GB2312"/>
                      <w:sz w:val="21"/>
                      <w:color w:val="000000"/>
                    </w:rPr>
                    <w:t>2.7.2</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最大工作高度</w:t>
                  </w:r>
                  <w:r>
                    <w:rPr>
                      <w:rFonts w:ascii="仿宋_GB2312" w:hAnsi="仿宋_GB2312" w:cs="仿宋_GB2312" w:eastAsia="仿宋_GB2312"/>
                      <w:sz w:val="21"/>
                      <w:color w:val="000000"/>
                    </w:rPr>
                    <w:t>7m；</w:t>
                  </w:r>
                </w:p>
                <w:p>
                  <w:pPr>
                    <w:pStyle w:val="null3"/>
                    <w:ind w:firstLine="420"/>
                    <w:jc w:val="both"/>
                  </w:pPr>
                  <w:r>
                    <w:rPr>
                      <w:rFonts w:ascii="仿宋_GB2312" w:hAnsi="仿宋_GB2312" w:cs="仿宋_GB2312" w:eastAsia="仿宋_GB2312"/>
                      <w:sz w:val="21"/>
                      <w:color w:val="000000"/>
                    </w:rPr>
                    <w:t>2.7.3</w:t>
                  </w:r>
                  <w:r>
                    <w:rPr>
                      <w:rFonts w:ascii="仿宋_GB2312" w:hAnsi="仿宋_GB2312" w:cs="仿宋_GB2312" w:eastAsia="仿宋_GB2312"/>
                      <w:sz w:val="21"/>
                      <w:color w:val="000000"/>
                    </w:rPr>
                    <w:t>▲</w:t>
                  </w:r>
                  <w:r>
                    <w:rPr>
                      <w:rFonts w:ascii="仿宋_GB2312" w:hAnsi="仿宋_GB2312" w:cs="仿宋_GB2312" w:eastAsia="仿宋_GB2312"/>
                      <w:sz w:val="21"/>
                      <w:color w:val="000000"/>
                    </w:rPr>
                    <w:t>运输宽度</w:t>
                  </w:r>
                  <w:r>
                    <w:rPr>
                      <w:rFonts w:ascii="仿宋_GB2312" w:hAnsi="仿宋_GB2312" w:cs="仿宋_GB2312" w:eastAsia="仿宋_GB2312"/>
                      <w:sz w:val="21"/>
                      <w:color w:val="000000"/>
                    </w:rPr>
                    <w:t>≤2.2m；</w:t>
                  </w:r>
                </w:p>
                <w:p>
                  <w:pPr>
                    <w:pStyle w:val="null3"/>
                    <w:ind w:firstLine="420"/>
                    <w:jc w:val="both"/>
                  </w:pPr>
                  <w:r>
                    <w:rPr>
                      <w:rFonts w:ascii="仿宋_GB2312" w:hAnsi="仿宋_GB2312" w:cs="仿宋_GB2312" w:eastAsia="仿宋_GB2312"/>
                      <w:sz w:val="21"/>
                      <w:color w:val="000000"/>
                    </w:rPr>
                    <w:t>2.7.4</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最大工作宽度</w:t>
                  </w:r>
                  <w:r>
                    <w:rPr>
                      <w:rFonts w:ascii="仿宋_GB2312" w:hAnsi="仿宋_GB2312" w:cs="仿宋_GB2312" w:eastAsia="仿宋_GB2312"/>
                      <w:sz w:val="21"/>
                      <w:color w:val="000000"/>
                    </w:rPr>
                    <w:t>≥5m；</w:t>
                  </w:r>
                </w:p>
                <w:p>
                  <w:pPr>
                    <w:pStyle w:val="null3"/>
                    <w:ind w:firstLine="420"/>
                    <w:jc w:val="both"/>
                  </w:pPr>
                  <w:r>
                    <w:rPr>
                      <w:rFonts w:ascii="仿宋_GB2312" w:hAnsi="仿宋_GB2312" w:cs="仿宋_GB2312" w:eastAsia="仿宋_GB2312"/>
                      <w:sz w:val="21"/>
                      <w:color w:val="000000"/>
                    </w:rPr>
                    <w:t>2.7.5</w:t>
                  </w:r>
                  <w:r>
                    <w:rPr>
                      <w:rFonts w:ascii="仿宋_GB2312" w:hAnsi="仿宋_GB2312" w:cs="仿宋_GB2312" w:eastAsia="仿宋_GB2312"/>
                      <w:sz w:val="21"/>
                      <w:color w:val="000000"/>
                    </w:rPr>
                    <w:t>▲</w:t>
                  </w:r>
                  <w:r>
                    <w:rPr>
                      <w:rFonts w:ascii="仿宋_GB2312" w:hAnsi="仿宋_GB2312" w:cs="仿宋_GB2312" w:eastAsia="仿宋_GB2312"/>
                      <w:sz w:val="21"/>
                      <w:color w:val="000000"/>
                    </w:rPr>
                    <w:t>有效额定载荷</w:t>
                  </w:r>
                  <w:r>
                    <w:rPr>
                      <w:rFonts w:ascii="仿宋_GB2312" w:hAnsi="仿宋_GB2312" w:cs="仿宋_GB2312" w:eastAsia="仿宋_GB2312"/>
                      <w:sz w:val="21"/>
                      <w:color w:val="000000"/>
                    </w:rPr>
                    <w:t>≥600kg；</w:t>
                  </w:r>
                </w:p>
                <w:p>
                  <w:pPr>
                    <w:pStyle w:val="null3"/>
                    <w:ind w:firstLine="420"/>
                    <w:jc w:val="both"/>
                  </w:pPr>
                  <w:r>
                    <w:rPr>
                      <w:rFonts w:ascii="仿宋_GB2312" w:hAnsi="仿宋_GB2312" w:cs="仿宋_GB2312" w:eastAsia="仿宋_GB2312"/>
                      <w:sz w:val="21"/>
                      <w:color w:val="000000"/>
                    </w:rPr>
                    <w:t>2.7.6注浆压力≥4MPa；</w:t>
                  </w:r>
                </w:p>
                <w:p>
                  <w:pPr>
                    <w:pStyle w:val="null3"/>
                    <w:ind w:firstLine="420"/>
                    <w:jc w:val="both"/>
                  </w:pPr>
                  <w:r>
                    <w:rPr>
                      <w:rFonts w:ascii="仿宋_GB2312" w:hAnsi="仿宋_GB2312" w:cs="仿宋_GB2312" w:eastAsia="仿宋_GB2312"/>
                      <w:sz w:val="21"/>
                      <w:color w:val="000000"/>
                    </w:rPr>
                    <w:t>2.7.7注浆流量≥2.5m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p>
                <w:p>
                  <w:pPr>
                    <w:pStyle w:val="null3"/>
                    <w:ind w:firstLine="420"/>
                    <w:jc w:val="both"/>
                  </w:pPr>
                  <w:r>
                    <w:rPr>
                      <w:rFonts w:ascii="仿宋_GB2312" w:hAnsi="仿宋_GB2312" w:cs="仿宋_GB2312" w:eastAsia="仿宋_GB2312"/>
                      <w:sz w:val="21"/>
                      <w:color w:val="000000"/>
                    </w:rPr>
                    <w:t>2.7.8储料容量≥100kg（水泥）。</w:t>
                  </w:r>
                </w:p>
                <w:p>
                  <w:pPr>
                    <w:pStyle w:val="null3"/>
                    <w:ind w:firstLine="420"/>
                    <w:jc w:val="both"/>
                  </w:pPr>
                  <w:r>
                    <w:rPr>
                      <w:rFonts w:ascii="仿宋_GB2312" w:hAnsi="仿宋_GB2312" w:cs="仿宋_GB2312" w:eastAsia="仿宋_GB2312"/>
                      <w:sz w:val="21"/>
                      <w:color w:val="000000"/>
                    </w:rPr>
                    <w:t>2.8拱架安装装置（只用于边墙拱架机械化安装）</w:t>
                  </w:r>
                </w:p>
                <w:p>
                  <w:pPr>
                    <w:pStyle w:val="null3"/>
                    <w:ind w:firstLine="420"/>
                    <w:jc w:val="both"/>
                  </w:pPr>
                  <w:r>
                    <w:rPr>
                      <w:rFonts w:ascii="仿宋_GB2312" w:hAnsi="仿宋_GB2312" w:cs="仿宋_GB2312" w:eastAsia="仿宋_GB2312"/>
                      <w:sz w:val="21"/>
                      <w:color w:val="000000"/>
                    </w:rPr>
                    <w:t>2.8.1</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可安装钢拱架宽度</w:t>
                  </w:r>
                  <w:r>
                    <w:rPr>
                      <w:rFonts w:ascii="仿宋_GB2312" w:hAnsi="仿宋_GB2312" w:cs="仿宋_GB2312" w:eastAsia="仿宋_GB2312"/>
                      <w:sz w:val="21"/>
                      <w:color w:val="000000"/>
                    </w:rPr>
                    <w:t>80-240mm；</w:t>
                  </w:r>
                </w:p>
                <w:p>
                  <w:pPr>
                    <w:pStyle w:val="null3"/>
                    <w:ind w:firstLine="420"/>
                    <w:jc w:val="both"/>
                  </w:pPr>
                  <w:r>
                    <w:rPr>
                      <w:rFonts w:ascii="仿宋_GB2312" w:hAnsi="仿宋_GB2312" w:cs="仿宋_GB2312" w:eastAsia="仿宋_GB2312"/>
                      <w:sz w:val="21"/>
                      <w:color w:val="000000"/>
                    </w:rPr>
                    <w:t>2.8.2</w:t>
                  </w:r>
                  <w:r>
                    <w:rPr>
                      <w:rFonts w:ascii="仿宋_GB2312" w:hAnsi="仿宋_GB2312" w:cs="仿宋_GB2312" w:eastAsia="仿宋_GB2312"/>
                      <w:sz w:val="21"/>
                      <w:color w:val="000000"/>
                    </w:rPr>
                    <w:t>▲</w:t>
                  </w:r>
                  <w:r>
                    <w:rPr>
                      <w:rFonts w:ascii="仿宋_GB2312" w:hAnsi="仿宋_GB2312" w:cs="仿宋_GB2312" w:eastAsia="仿宋_GB2312"/>
                      <w:sz w:val="21"/>
                      <w:color w:val="000000"/>
                    </w:rPr>
                    <w:t>抓手夹持力</w:t>
                  </w:r>
                  <w:r>
                    <w:rPr>
                      <w:rFonts w:ascii="仿宋_GB2312" w:hAnsi="仿宋_GB2312" w:cs="仿宋_GB2312" w:eastAsia="仿宋_GB2312"/>
                      <w:sz w:val="21"/>
                      <w:color w:val="000000"/>
                    </w:rPr>
                    <w:t>≥10kN；</w:t>
                  </w:r>
                </w:p>
                <w:p>
                  <w:pPr>
                    <w:pStyle w:val="null3"/>
                    <w:ind w:firstLine="420"/>
                    <w:jc w:val="both"/>
                  </w:pPr>
                  <w:r>
                    <w:rPr>
                      <w:rFonts w:ascii="仿宋_GB2312" w:hAnsi="仿宋_GB2312" w:cs="仿宋_GB2312" w:eastAsia="仿宋_GB2312"/>
                      <w:sz w:val="21"/>
                      <w:color w:val="000000"/>
                    </w:rPr>
                    <w:t>2.8.3对位精度≤2cm。</w:t>
                  </w:r>
                </w:p>
                <w:p>
                  <w:pPr>
                    <w:pStyle w:val="null3"/>
                    <w:ind w:firstLine="420"/>
                    <w:jc w:val="both"/>
                  </w:pPr>
                  <w:r>
                    <w:rPr>
                      <w:rFonts w:ascii="仿宋_GB2312" w:hAnsi="仿宋_GB2312" w:cs="仿宋_GB2312" w:eastAsia="仿宋_GB2312"/>
                      <w:sz w:val="21"/>
                      <w:color w:val="000000"/>
                    </w:rPr>
                    <w:t>2.9上下道装置</w:t>
                  </w:r>
                </w:p>
                <w:p>
                  <w:pPr>
                    <w:pStyle w:val="null3"/>
                    <w:ind w:firstLine="420"/>
                    <w:jc w:val="both"/>
                  </w:pPr>
                  <w:r>
                    <w:rPr>
                      <w:rFonts w:ascii="仿宋_GB2312" w:hAnsi="仿宋_GB2312" w:cs="仿宋_GB2312" w:eastAsia="仿宋_GB2312"/>
                      <w:sz w:val="21"/>
                      <w:color w:val="000000"/>
                    </w:rPr>
                    <w:t>2.9.1上下道装置承载力≥20t；</w:t>
                  </w:r>
                </w:p>
                <w:p>
                  <w:pPr>
                    <w:pStyle w:val="null3"/>
                    <w:ind w:firstLine="420"/>
                    <w:jc w:val="both"/>
                  </w:pPr>
                  <w:r>
                    <w:rPr>
                      <w:rFonts w:ascii="仿宋_GB2312" w:hAnsi="仿宋_GB2312" w:cs="仿宋_GB2312" w:eastAsia="仿宋_GB2312"/>
                      <w:sz w:val="21"/>
                      <w:color w:val="000000"/>
                    </w:rPr>
                    <w:t>2.9.2上下道装置摆动角度≥135°；</w:t>
                  </w:r>
                </w:p>
                <w:p>
                  <w:pPr>
                    <w:pStyle w:val="null3"/>
                    <w:ind w:firstLine="420"/>
                    <w:jc w:val="both"/>
                  </w:pPr>
                  <w:r>
                    <w:rPr>
                      <w:rFonts w:ascii="仿宋_GB2312" w:hAnsi="仿宋_GB2312" w:cs="仿宋_GB2312" w:eastAsia="仿宋_GB2312"/>
                      <w:sz w:val="21"/>
                      <w:color w:val="000000"/>
                    </w:rPr>
                    <w:t>2.9.3上下道装置能有效保护油管。</w:t>
                  </w:r>
                </w:p>
                <w:p>
                  <w:pPr>
                    <w:pStyle w:val="null3"/>
                    <w:ind w:firstLine="420"/>
                    <w:jc w:val="both"/>
                  </w:pPr>
                  <w:r>
                    <w:rPr>
                      <w:rFonts w:ascii="仿宋_GB2312" w:hAnsi="仿宋_GB2312" w:cs="仿宋_GB2312" w:eastAsia="仿宋_GB2312"/>
                      <w:sz w:val="21"/>
                      <w:color w:val="000000"/>
                    </w:rPr>
                    <w:t>2.10模块化设计</w:t>
                  </w:r>
                </w:p>
                <w:p>
                  <w:pPr>
                    <w:pStyle w:val="null3"/>
                    <w:ind w:firstLine="420"/>
                    <w:jc w:val="both"/>
                  </w:pPr>
                  <w:r>
                    <w:rPr>
                      <w:rFonts w:ascii="仿宋_GB2312" w:hAnsi="仿宋_GB2312" w:cs="仿宋_GB2312" w:eastAsia="仿宋_GB2312"/>
                      <w:sz w:val="21"/>
                      <w:color w:val="000000"/>
                    </w:rPr>
                    <w:t>2.10.1</w:t>
                  </w:r>
                  <w:r>
                    <w:rPr>
                      <w:rFonts w:ascii="仿宋_GB2312" w:hAnsi="仿宋_GB2312" w:cs="仿宋_GB2312" w:eastAsia="仿宋_GB2312"/>
                      <w:sz w:val="21"/>
                      <w:color w:val="000000"/>
                    </w:rPr>
                    <w:t>▲</w:t>
                  </w:r>
                  <w:r>
                    <w:rPr>
                      <w:rFonts w:ascii="仿宋_GB2312" w:hAnsi="仿宋_GB2312" w:cs="仿宋_GB2312" w:eastAsia="仿宋_GB2312"/>
                      <w:sz w:val="21"/>
                      <w:color w:val="000000"/>
                    </w:rPr>
                    <w:t>钻孔装置、开槽装置、凿毛装置、拱架安装装置、混凝土喷射装置可共用相关载运机具及伸缩臂；</w:t>
                  </w:r>
                </w:p>
                <w:p>
                  <w:pPr>
                    <w:pStyle w:val="null3"/>
                    <w:ind w:firstLine="420"/>
                    <w:jc w:val="both"/>
                  </w:pPr>
                  <w:r>
                    <w:rPr>
                      <w:rFonts w:ascii="仿宋_GB2312" w:hAnsi="仿宋_GB2312" w:cs="仿宋_GB2312" w:eastAsia="仿宋_GB2312"/>
                      <w:sz w:val="21"/>
                      <w:color w:val="000000"/>
                    </w:rPr>
                    <w:t>2.10.2电液控制系统可实现多功能兼容；</w:t>
                  </w:r>
                </w:p>
                <w:p>
                  <w:pPr>
                    <w:pStyle w:val="null3"/>
                    <w:ind w:firstLine="420"/>
                    <w:jc w:val="both"/>
                  </w:pPr>
                  <w:r>
                    <w:rPr>
                      <w:rFonts w:ascii="仿宋_GB2312" w:hAnsi="仿宋_GB2312" w:cs="仿宋_GB2312" w:eastAsia="仿宋_GB2312"/>
                      <w:sz w:val="21"/>
                      <w:color w:val="000000"/>
                    </w:rPr>
                    <w:t>2.10.3设备作业具备遥控器远程控制能力。</w:t>
                  </w:r>
                </w:p>
                <w:p>
                  <w:pPr>
                    <w:pStyle w:val="null3"/>
                    <w:ind w:firstLine="420"/>
                    <w:jc w:val="both"/>
                  </w:pPr>
                  <w:r>
                    <w:rPr>
                      <w:rFonts w:ascii="仿宋_GB2312" w:hAnsi="仿宋_GB2312" w:cs="仿宋_GB2312" w:eastAsia="仿宋_GB2312"/>
                      <w:sz w:val="21"/>
                      <w:color w:val="000000"/>
                    </w:rPr>
                    <w:t>2.11应急救援</w:t>
                  </w:r>
                </w:p>
                <w:p>
                  <w:pPr>
                    <w:pStyle w:val="null3"/>
                    <w:ind w:firstLine="420"/>
                    <w:jc w:val="both"/>
                  </w:pPr>
                  <w:r>
                    <w:rPr>
                      <w:rFonts w:ascii="仿宋_GB2312" w:hAnsi="仿宋_GB2312" w:cs="仿宋_GB2312" w:eastAsia="仿宋_GB2312"/>
                      <w:sz w:val="21"/>
                      <w:color w:val="000000"/>
                    </w:rPr>
                    <w:t>2.11.1</w:t>
                  </w:r>
                  <w:r>
                    <w:rPr>
                      <w:rFonts w:ascii="仿宋_GB2312" w:hAnsi="仿宋_GB2312" w:cs="仿宋_GB2312" w:eastAsia="仿宋_GB2312"/>
                      <w:sz w:val="21"/>
                      <w:color w:val="000000"/>
                    </w:rPr>
                    <w:t>▲</w:t>
                  </w:r>
                  <w:r>
                    <w:rPr>
                      <w:rFonts w:ascii="仿宋_GB2312" w:hAnsi="仿宋_GB2312" w:cs="仿宋_GB2312" w:eastAsia="仿宋_GB2312"/>
                      <w:sz w:val="21"/>
                      <w:color w:val="000000"/>
                    </w:rPr>
                    <w:t>应急救援泵站功率</w:t>
                  </w:r>
                  <w:r>
                    <w:rPr>
                      <w:rFonts w:ascii="仿宋_GB2312" w:hAnsi="仿宋_GB2312" w:cs="仿宋_GB2312" w:eastAsia="仿宋_GB2312"/>
                      <w:sz w:val="21"/>
                      <w:color w:val="000000"/>
                    </w:rPr>
                    <w:t>≥15kW；</w:t>
                  </w:r>
                </w:p>
                <w:p>
                  <w:pPr>
                    <w:pStyle w:val="null3"/>
                    <w:ind w:firstLine="420"/>
                    <w:jc w:val="both"/>
                  </w:pPr>
                  <w:r>
                    <w:rPr>
                      <w:rFonts w:ascii="仿宋_GB2312" w:hAnsi="仿宋_GB2312" w:cs="仿宋_GB2312" w:eastAsia="仿宋_GB2312"/>
                      <w:sz w:val="21"/>
                      <w:color w:val="000000"/>
                    </w:rPr>
                    <w:t>2.11.2</w:t>
                  </w:r>
                  <w:r>
                    <w:rPr>
                      <w:rFonts w:ascii="仿宋_GB2312" w:hAnsi="仿宋_GB2312" w:cs="仿宋_GB2312" w:eastAsia="仿宋_GB2312"/>
                      <w:sz w:val="21"/>
                      <w:color w:val="000000"/>
                    </w:rPr>
                    <w:t>▲</w:t>
                  </w:r>
                  <w:r>
                    <w:rPr>
                      <w:rFonts w:ascii="仿宋_GB2312" w:hAnsi="仿宋_GB2312" w:cs="仿宋_GB2312" w:eastAsia="仿宋_GB2312"/>
                      <w:sz w:val="21"/>
                      <w:color w:val="000000"/>
                    </w:rPr>
                    <w:t>应急救援可在故障后采用：（</w:t>
                  </w:r>
                  <w:r>
                    <w:rPr>
                      <w:rFonts w:ascii="仿宋_GB2312" w:hAnsi="仿宋_GB2312" w:cs="仿宋_GB2312" w:eastAsia="仿宋_GB2312"/>
                      <w:sz w:val="21"/>
                      <w:color w:val="000000"/>
                    </w:rPr>
                    <w:t>1）由应急救援泵站供油切换为空挡模式；（2）松开空挡锁紧螺栓切换为空挡模式，能有效保障设备故障后的快速下道；</w:t>
                  </w:r>
                </w:p>
                <w:p>
                  <w:pPr>
                    <w:pStyle w:val="null3"/>
                    <w:ind w:firstLine="420"/>
                    <w:jc w:val="both"/>
                  </w:pPr>
                  <w:r>
                    <w:rPr>
                      <w:rFonts w:ascii="仿宋_GB2312" w:hAnsi="仿宋_GB2312" w:cs="仿宋_GB2312" w:eastAsia="仿宋_GB2312"/>
                      <w:sz w:val="21"/>
                      <w:color w:val="000000"/>
                    </w:rPr>
                    <w:t>2.11.3</w:t>
                  </w:r>
                  <w:r>
                    <w:rPr>
                      <w:rFonts w:ascii="仿宋_GB2312" w:hAnsi="仿宋_GB2312" w:cs="仿宋_GB2312" w:eastAsia="仿宋_GB2312"/>
                      <w:sz w:val="21"/>
                      <w:color w:val="000000"/>
                    </w:rPr>
                    <w:t>▲</w:t>
                  </w:r>
                  <w:r>
                    <w:rPr>
                      <w:rFonts w:ascii="仿宋_GB2312" w:hAnsi="仿宋_GB2312" w:cs="仿宋_GB2312" w:eastAsia="仿宋_GB2312"/>
                      <w:sz w:val="21"/>
                      <w:color w:val="000000"/>
                    </w:rPr>
                    <w:t>应急救援装置加注</w:t>
                  </w:r>
                  <w:r>
                    <w:rPr>
                      <w:rFonts w:ascii="仿宋_GB2312" w:hAnsi="仿宋_GB2312" w:cs="仿宋_GB2312" w:eastAsia="仿宋_GB2312"/>
                      <w:sz w:val="21"/>
                      <w:color w:val="000000"/>
                    </w:rPr>
                    <w:t>0#柴油；</w:t>
                  </w:r>
                </w:p>
                <w:p>
                  <w:pPr>
                    <w:pStyle w:val="null3"/>
                    <w:ind w:firstLine="420"/>
                    <w:jc w:val="both"/>
                  </w:pPr>
                  <w:r>
                    <w:rPr>
                      <w:rFonts w:ascii="仿宋_GB2312" w:hAnsi="仿宋_GB2312" w:cs="仿宋_GB2312" w:eastAsia="仿宋_GB2312"/>
                      <w:sz w:val="21"/>
                      <w:color w:val="000000"/>
                    </w:rPr>
                    <w:t>2.11.4</w:t>
                  </w:r>
                  <w:r>
                    <w:rPr>
                      <w:rFonts w:ascii="仿宋_GB2312" w:hAnsi="仿宋_GB2312" w:cs="仿宋_GB2312" w:eastAsia="仿宋_GB2312"/>
                      <w:sz w:val="21"/>
                      <w:color w:val="000000"/>
                    </w:rPr>
                    <w:t>▲</w:t>
                  </w:r>
                  <w:r>
                    <w:rPr>
                      <w:rFonts w:ascii="仿宋_GB2312" w:hAnsi="仿宋_GB2312" w:cs="仿宋_GB2312" w:eastAsia="仿宋_GB2312"/>
                      <w:sz w:val="21"/>
                      <w:color w:val="000000"/>
                    </w:rPr>
                    <w:t>应急救援能适应</w:t>
                  </w:r>
                  <w:r>
                    <w:rPr>
                      <w:rFonts w:ascii="仿宋_GB2312" w:hAnsi="仿宋_GB2312" w:cs="仿宋_GB2312" w:eastAsia="仿宋_GB2312"/>
                      <w:sz w:val="21"/>
                      <w:color w:val="000000"/>
                    </w:rPr>
                    <w:t>2种操控系统：（1）驾驶室操控系统操作；（2）独立驾驶室操控系统的外置操控系统操作。</w:t>
                  </w:r>
                </w:p>
                <w:p>
                  <w:pPr>
                    <w:pStyle w:val="null3"/>
                    <w:ind w:firstLine="420"/>
                    <w:jc w:val="left"/>
                  </w:pPr>
                  <w:r>
                    <w:rPr>
                      <w:rFonts w:ascii="仿宋_GB2312" w:hAnsi="仿宋_GB2312" w:cs="仿宋_GB2312" w:eastAsia="仿宋_GB2312"/>
                      <w:sz w:val="21"/>
                      <w:color w:val="000000"/>
                    </w:rPr>
                    <w:t>2.12轨枕拆换模块</w:t>
                  </w:r>
                </w:p>
                <w:p>
                  <w:pPr>
                    <w:pStyle w:val="null3"/>
                    <w:ind w:firstLine="420"/>
                    <w:jc w:val="left"/>
                  </w:pPr>
                  <w:r>
                    <w:rPr>
                      <w:rFonts w:ascii="仿宋_GB2312" w:hAnsi="仿宋_GB2312" w:cs="仿宋_GB2312" w:eastAsia="仿宋_GB2312"/>
                      <w:sz w:val="21"/>
                      <w:color w:val="000000"/>
                    </w:rPr>
                    <w:t>2.12.1轨距1435mm；</w:t>
                  </w:r>
                </w:p>
                <w:p>
                  <w:pPr>
                    <w:pStyle w:val="null3"/>
                    <w:ind w:firstLine="420"/>
                    <w:jc w:val="left"/>
                  </w:pPr>
                  <w:r>
                    <w:rPr>
                      <w:rFonts w:ascii="仿宋_GB2312" w:hAnsi="仿宋_GB2312" w:cs="仿宋_GB2312" w:eastAsia="仿宋_GB2312"/>
                      <w:sz w:val="21"/>
                      <w:color w:val="000000"/>
                    </w:rPr>
                    <w:t>2.12.2</w:t>
                  </w:r>
                  <w:r>
                    <w:rPr>
                      <w:rFonts w:ascii="仿宋_GB2312" w:hAnsi="仿宋_GB2312" w:cs="仿宋_GB2312" w:eastAsia="仿宋_GB2312"/>
                      <w:sz w:val="21"/>
                      <w:color w:val="000000"/>
                    </w:rPr>
                    <w:t>▲</w:t>
                  </w:r>
                  <w:r>
                    <w:rPr>
                      <w:rFonts w:ascii="仿宋_GB2312" w:hAnsi="仿宋_GB2312" w:cs="仿宋_GB2312" w:eastAsia="仿宋_GB2312"/>
                      <w:sz w:val="21"/>
                      <w:color w:val="000000"/>
                    </w:rPr>
                    <w:t>轨枕重量</w:t>
                  </w:r>
                  <w:r>
                    <w:rPr>
                      <w:rFonts w:ascii="仿宋_GB2312" w:hAnsi="仿宋_GB2312" w:cs="仿宋_GB2312" w:eastAsia="仿宋_GB2312"/>
                      <w:sz w:val="21"/>
                      <w:color w:val="000000"/>
                    </w:rPr>
                    <w:t>≤400kg；</w:t>
                  </w:r>
                </w:p>
                <w:p>
                  <w:pPr>
                    <w:pStyle w:val="null3"/>
                    <w:ind w:firstLine="420"/>
                    <w:jc w:val="left"/>
                  </w:pPr>
                  <w:r>
                    <w:rPr>
                      <w:rFonts w:ascii="仿宋_GB2312" w:hAnsi="仿宋_GB2312" w:cs="仿宋_GB2312" w:eastAsia="仿宋_GB2312"/>
                      <w:sz w:val="21"/>
                      <w:color w:val="000000"/>
                    </w:rPr>
                    <w:t>2.12.3</w:t>
                  </w:r>
                  <w:r>
                    <w:rPr>
                      <w:rFonts w:ascii="仿宋_GB2312" w:hAnsi="仿宋_GB2312" w:cs="仿宋_GB2312" w:eastAsia="仿宋_GB2312"/>
                      <w:sz w:val="21"/>
                      <w:color w:val="000000"/>
                    </w:rPr>
                    <w:t>▲</w:t>
                  </w:r>
                  <w:r>
                    <w:rPr>
                      <w:rFonts w:ascii="仿宋_GB2312" w:hAnsi="仿宋_GB2312" w:cs="仿宋_GB2312" w:eastAsia="仿宋_GB2312"/>
                      <w:sz w:val="21"/>
                      <w:color w:val="000000"/>
                    </w:rPr>
                    <w:t>夹具开口</w:t>
                  </w:r>
                  <w:r>
                    <w:rPr>
                      <w:rFonts w:ascii="仿宋_GB2312" w:hAnsi="仿宋_GB2312" w:cs="仿宋_GB2312" w:eastAsia="仿宋_GB2312"/>
                      <w:sz w:val="21"/>
                      <w:color w:val="000000"/>
                    </w:rPr>
                    <w:t>0-500mm；</w:t>
                  </w:r>
                </w:p>
                <w:p>
                  <w:pPr>
                    <w:pStyle w:val="null3"/>
                    <w:ind w:firstLine="420"/>
                    <w:jc w:val="left"/>
                  </w:pPr>
                  <w:r>
                    <w:rPr>
                      <w:rFonts w:ascii="仿宋_GB2312" w:hAnsi="仿宋_GB2312" w:cs="仿宋_GB2312" w:eastAsia="仿宋_GB2312"/>
                      <w:sz w:val="21"/>
                      <w:color w:val="000000"/>
                    </w:rPr>
                    <w:t>2.12.4</w:t>
                  </w:r>
                  <w:r>
                    <w:rPr>
                      <w:rFonts w:ascii="仿宋_GB2312" w:hAnsi="仿宋_GB2312" w:cs="仿宋_GB2312" w:eastAsia="仿宋_GB2312"/>
                      <w:sz w:val="21"/>
                      <w:color w:val="000000"/>
                    </w:rPr>
                    <w:t>刮板宽度</w:t>
                  </w:r>
                  <w:r>
                    <w:rPr>
                      <w:rFonts w:ascii="仿宋_GB2312" w:hAnsi="仿宋_GB2312" w:cs="仿宋_GB2312" w:eastAsia="仿宋_GB2312"/>
                      <w:sz w:val="21"/>
                      <w:color w:val="000000"/>
                    </w:rPr>
                    <w:t>4000mm。</w:t>
                  </w:r>
                </w:p>
                <w:p>
                  <w:pPr>
                    <w:pStyle w:val="null3"/>
                    <w:ind w:firstLine="420"/>
                    <w:jc w:val="left"/>
                  </w:pPr>
                  <w:r>
                    <w:rPr>
                      <w:rFonts w:ascii="仿宋_GB2312" w:hAnsi="仿宋_GB2312" w:cs="仿宋_GB2312" w:eastAsia="仿宋_GB2312"/>
                      <w:sz w:val="21"/>
                      <w:color w:val="000000"/>
                    </w:rPr>
                    <w:t>2.13配套</w:t>
                  </w:r>
                  <w:r>
                    <w:rPr>
                      <w:rFonts w:ascii="仿宋_GB2312" w:hAnsi="仿宋_GB2312" w:cs="仿宋_GB2312" w:eastAsia="仿宋_GB2312"/>
                      <w:sz w:val="21"/>
                      <w:color w:val="000000"/>
                    </w:rPr>
                    <w:t>显示设备</w:t>
                  </w:r>
                </w:p>
                <w:p>
                  <w:pPr>
                    <w:pStyle w:val="null3"/>
                    <w:ind w:firstLine="420"/>
                    <w:jc w:val="left"/>
                  </w:pPr>
                  <w:r>
                    <w:rPr>
                      <w:rFonts w:ascii="仿宋_GB2312" w:hAnsi="仿宋_GB2312" w:cs="仿宋_GB2312" w:eastAsia="仿宋_GB2312"/>
                      <w:sz w:val="21"/>
                      <w:color w:val="000000"/>
                    </w:rPr>
                    <w:t>2.13.1</w:t>
                  </w:r>
                  <w:r>
                    <w:rPr>
                      <w:rFonts w:ascii="仿宋_GB2312" w:hAnsi="仿宋_GB2312" w:cs="仿宋_GB2312" w:eastAsia="仿宋_GB2312"/>
                      <w:sz w:val="21"/>
                      <w:color w:val="000000"/>
                    </w:rPr>
                    <w:t>配套显示设备</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2台，带移动支架；</w:t>
                  </w:r>
                </w:p>
                <w:p>
                  <w:pPr>
                    <w:pStyle w:val="null3"/>
                    <w:ind w:firstLine="420"/>
                    <w:jc w:val="left"/>
                  </w:pPr>
                  <w:r>
                    <w:rPr>
                      <w:rFonts w:ascii="仿宋_GB2312" w:hAnsi="仿宋_GB2312" w:cs="仿宋_GB2312" w:eastAsia="仿宋_GB2312"/>
                      <w:sz w:val="21"/>
                      <w:color w:val="000000"/>
                    </w:rPr>
                    <w:t>2.13.2参数：</w:t>
                  </w: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 xml:space="preserve">12代i7，存储DDR4 8G+256G </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≥85英寸，画面比例16:9，分辨率3840(H)x2160(V)，刷新频率60HZ，色彩度1.07B(10bit)，色域72% NTSC，可视角度178°(H</w:t>
                  </w:r>
                  <w:r>
                    <w:rPr>
                      <w:rFonts w:ascii="仿宋_GB2312" w:hAnsi="仿宋_GB2312" w:cs="仿宋_GB2312" w:eastAsia="仿宋_GB2312"/>
                      <w:sz w:val="21"/>
                      <w:color w:val="000000"/>
                    </w:rPr>
                    <w:t>/</w:t>
                  </w:r>
                  <w:r>
                    <w:rPr>
                      <w:rFonts w:ascii="仿宋_GB2312" w:hAnsi="仿宋_GB2312" w:cs="仿宋_GB2312" w:eastAsia="仿宋_GB2312"/>
                      <w:sz w:val="21"/>
                      <w:color w:val="000000"/>
                    </w:rPr>
                    <w:t>V)，背光类型DLED；</w:t>
                  </w:r>
                </w:p>
                <w:p>
                  <w:pPr>
                    <w:pStyle w:val="null3"/>
                    <w:ind w:firstLine="420"/>
                    <w:jc w:val="left"/>
                  </w:pPr>
                  <w:r>
                    <w:rPr>
                      <w:rFonts w:ascii="仿宋_GB2312" w:hAnsi="仿宋_GB2312" w:cs="仿宋_GB2312" w:eastAsia="仿宋_GB2312"/>
                      <w:sz w:val="21"/>
                      <w:color w:val="000000"/>
                    </w:rPr>
                    <w:t>2.13.3触摸参数：触摸精度±2mm；触摸点数40点触摸；最小识别物3mm；支持系统Windows11/Windows 10/Windows8/Windows7/WindowsXP/Android/Linux/Mac OS X/Chrome；</w:t>
                  </w:r>
                </w:p>
                <w:p>
                  <w:pPr>
                    <w:pStyle w:val="null3"/>
                    <w:ind w:firstLine="420"/>
                    <w:jc w:val="left"/>
                  </w:pPr>
                  <w:r>
                    <w:rPr>
                      <w:rFonts w:ascii="仿宋_GB2312" w:hAnsi="仿宋_GB2312" w:cs="仿宋_GB2312" w:eastAsia="仿宋_GB2312"/>
                      <w:sz w:val="21"/>
                      <w:color w:val="000000"/>
                    </w:rPr>
                    <w:t>2.13.4声道：2.2声道，功率60W；</w:t>
                  </w:r>
                </w:p>
                <w:p>
                  <w:pPr>
                    <w:pStyle w:val="null3"/>
                    <w:ind w:firstLine="420"/>
                    <w:jc w:val="left"/>
                  </w:pPr>
                  <w:r>
                    <w:rPr>
                      <w:rFonts w:ascii="仿宋_GB2312" w:hAnsi="仿宋_GB2312" w:cs="仿宋_GB2312" w:eastAsia="仿宋_GB2312"/>
                      <w:sz w:val="21"/>
                      <w:color w:val="000000"/>
                    </w:rPr>
                    <w:t>2.13.5蓝牙：版本5.4，工作距离0~12m；</w:t>
                  </w:r>
                </w:p>
                <w:p>
                  <w:pPr>
                    <w:pStyle w:val="null3"/>
                    <w:ind w:firstLine="420"/>
                    <w:jc w:val="left"/>
                  </w:pPr>
                  <w:r>
                    <w:rPr>
                      <w:rFonts w:ascii="仿宋_GB2312" w:hAnsi="仿宋_GB2312" w:cs="仿宋_GB2312" w:eastAsia="仿宋_GB2312"/>
                      <w:sz w:val="21"/>
                      <w:color w:val="000000"/>
                    </w:rPr>
                    <w:t>2.13.6Wi-Fi：工作频率2.4GHz/5GHz。</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r>
                    <w:rPr>
                      <w:rFonts w:ascii="仿宋_GB2312" w:hAnsi="仿宋_GB2312" w:cs="仿宋_GB2312" w:eastAsia="仿宋_GB2312"/>
                      <w:sz w:val="21"/>
                      <w:color w:val="000000"/>
                    </w:rPr>
                    <w:t>“▲”须提供证明材料（不限于产品检测报告、产品彩页、官网和功能截图等）在技术偏离表“说明”栏中标明证明材料的页码</w:t>
                  </w:r>
                  <w:r>
                    <w:rPr>
                      <w:rFonts w:ascii="仿宋_GB2312" w:hAnsi="仿宋_GB2312" w:cs="仿宋_GB2312" w:eastAsia="仿宋_GB2312"/>
                      <w:sz w:val="21"/>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合同签订后40日历日内交货安装验收完毕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项目验收通过后，乙方出具全额增值税专用发票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交付使用起所有设备质保期为2年；验收合格后，投标人选派人员到采购人指定地点培训，培训所需器材、技术资料及相关费用由投标人承担。保修期间维修及零件更换费用、人工及差旅费等费用全部由投标人负担（人为损坏除外）。在保修期内，如设备或零部件因非人为因素出现故障而造成短期停用的，经双方确认后，保修期相应顺延，顺延期限由双方协商确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 文件正本 壹 份、副本 壹 份。若电子投标文件与纸质投标文件不一致的，以线上提交的电子投标文件为准。 （1）线下提交投标文件地点：西安市高新区唐延路旺座现代城C座25楼2504室 （2）联系电话：029-88319689转8006/8007 邮箱：sxwzzb@126.com （3）.保证金汇款时请备注项目编号（例如备注为：陕铁-019）.若以保函形式交纳投标保证金的，投标人应在响应截止时间前将保函扫描成清晰的PDF文件，发送至代理机构邮箱。 2、报价说明：本项目报价包含产品费、安装调试费、运输费、人员费、保险费、税费以及投标人完成本项目过程中所产生的其他相关费用。（实质性要求）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供应商提供本单位2025年10月至今已缴纳的至少一个月纳税证明或完税证明，依法免税的单位应提供相关证明材料（时间以税款所属时期为准）；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10、《陕西省财政厅关于加快推进我省中小企业政府采购信用融资工作的通知》（陕财办采〔2020〕15号）、关于印发《陕西省中小企业政府采购信用融资办法》（陕财办采〔2018〕23号）。 11、财政部关于进一步加大政府采购支持中小企业力度的通知（财库﹝2022﹞19号）。12、《关于在政府采购中实施本国产品标准及相关政策的通知 》（国办发〔2025〕34号） 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 10.本国产品标准的声明函.docx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9.供应商承诺书和供应商认为的其他相关证明资料.docx 1分项报价表.docx 02供应商资格证明资料.docx 中小企业声明函 投标文件封面 8.供应商业绩一览表.docx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供应商投标保证金是否符合招标文件要求</w:t>
            </w:r>
          </w:p>
        </w:tc>
        <w:tc>
          <w:tcPr>
            <w:tcW w:type="dxa" w:w="1661"/>
          </w:tcPr>
          <w:p>
            <w:pPr>
              <w:pStyle w:val="null3"/>
            </w:pPr>
            <w:r>
              <w:rPr>
                <w:rFonts w:ascii="仿宋_GB2312" w:hAnsi="仿宋_GB2312" w:cs="仿宋_GB2312" w:eastAsia="仿宋_GB2312"/>
              </w:rPr>
              <w:t>11.投标保证金缴纳凭证.docx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332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1661"/>
          </w:tcPr>
          <w:p>
            <w:pPr>
              <w:pStyle w:val="null3"/>
            </w:pPr>
            <w:r>
              <w:rPr>
                <w:rFonts w:ascii="仿宋_GB2312" w:hAnsi="仿宋_GB2312" w:cs="仿宋_GB2312" w:eastAsia="仿宋_GB2312"/>
              </w:rPr>
              <w:t>3.商务和技术响应偏离表.docx 02供应商资格证明资料.docx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9.供应商承诺书和供应商认为的其他相关证明资料.docx 3.商务和技术响应偏离表.docx 02供应商资格证明资料.docx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对招标文件技术参数要求部分的所有指标，投标人应在技术响应偏离表中逐条进行响应。 基本分:完全符合、响应招标文件要求，没有负偏离的得22分；标“▲”项为重要指标，每负偏离1项扣1分，非“▲”项每负偏离一项扣0.5分，扣完为止。 “▲”须提供证明材料（不限于产品检测报告、产品彩页、官网和功能截图等）在技术偏离表“说明”栏中标明证明材料的页码； 评审依据为相应的功能证明材料（包括但不限于产品彩页、官网功能截图、第三方检测报告、产品技术白皮书等）及响应产品技术参数偏离表等； 备注：文件中要求提供证明材料而未提供证明材料或提供证明材料不满足招标文件规定的相应技术指标、参数时视为负偏离。</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3.商务和技术响应偏离表.docx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投标人提供针对本项目的实施方案,包括①项目总体生产实施方案②供货组织安排③进度安排④专项运输方案。 评审标准：方案各部分内容全面详细、阐述条例清晰详尽、符合本项目采购需求，能保障本项目实施得12分；评审内容每缺一项扣3分，评审内容每有一处缺陷未完全响应评审标准的扣1.5分，扣完为止。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4实施方案和质量保证措施.docx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投标人针对本项目提供详细、具体的质量保证措施；包含①质量保证承诺；②质量保证措施；③投标产品质量相关执行标准。 评审标准：方案各部分内容全面详细、阐述条例清晰详尽、符合本项目采购需求，能保障本项目实施得6分；评审内容每缺一项扣2分，评审内容每有一处缺陷未完全响应评审标准的扣1分。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4实施方案和质量保证措施.docx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提供所投产品合法来源渠道证明文件（不限于销售协议、代理协议、原厂授权等），确保生产供应的产品为全新产品,无假货、水货、翻新货且无产权纠纷。提供齐全计1分，提供不全或未提供不计分。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5供货渠道和安装调试及验收方案.docx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投标人提供针对本项目的①安装调试②验收方案； 评审标准：方案各部分内容全面详细、阐述条例清晰详尽、符合本项目采购需求，能保障本项目实施得4分；评审内容每缺一项扣2分，评审内容每有一处缺陷未完全响应评审标准的扣1分。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5供货渠道和安装调试及验收方案.docx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售后服务机构健全，提供售后服务方案（包含①售后服务方案、②售后服务人员、③售后服务响应时间及方式、④出现质量问题时的补救措施。 评审标准：各部分内容全面详细、阐述条例清晰详尽、符合本项目采购需求，得8分，评审内容每缺一项扣2分；评审内容每有一处缺陷未完全响应评审标准的扣1分。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6.售后服务方案和培训方案.docx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投标人针对本项目提供详细、可行的技术培训方案，至少包括①培训内容②培训计划③培训目标等方面。 评审标准：各部分内容全面详细、阐述条例清晰详尽、符合本项目采购需求，得6分，评审内容每缺一项扣2分；评审内容每有一处缺陷未完全响应评审标准的扣1分。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6.售后服务方案和培训方案.docx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提供投标人2023年1月1日至今（以合同签订时间为准）同类项目的供货业绩（提供合同关键页及发票复印件，内容要清晰）。每提供1个得1分，提供不全不计分，满分4分。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8.供应商业绩一览表.docx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7.校园文化.docx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10.本国产品标准的声明函.docx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详见附件：3.商务和技术响应偏离表.docx</w:t>
      </w:r>
    </w:p>
    <w:p>
      <w:pPr>
        <w:pStyle w:val="null3"/>
        <w:ind w:firstLine="960"/>
      </w:pPr>
      <w:r>
        <w:rPr>
          <w:rFonts w:ascii="仿宋_GB2312" w:hAnsi="仿宋_GB2312" w:cs="仿宋_GB2312" w:eastAsia="仿宋_GB2312"/>
        </w:rPr>
        <w:t>详见附件：4实施方案和质量保证措施.docx</w:t>
      </w:r>
    </w:p>
    <w:p>
      <w:pPr>
        <w:pStyle w:val="null3"/>
        <w:ind w:firstLine="960"/>
      </w:pPr>
      <w:r>
        <w:rPr>
          <w:rFonts w:ascii="仿宋_GB2312" w:hAnsi="仿宋_GB2312" w:cs="仿宋_GB2312" w:eastAsia="仿宋_GB2312"/>
        </w:rPr>
        <w:t>详见附件：5供货渠道和安装调试及验收方案.docx</w:t>
      </w:r>
    </w:p>
    <w:p>
      <w:pPr>
        <w:pStyle w:val="null3"/>
        <w:ind w:firstLine="960"/>
      </w:pPr>
      <w:r>
        <w:rPr>
          <w:rFonts w:ascii="仿宋_GB2312" w:hAnsi="仿宋_GB2312" w:cs="仿宋_GB2312" w:eastAsia="仿宋_GB2312"/>
        </w:rPr>
        <w:t>详见附件：6.售后服务方案和培训方案.docx</w:t>
      </w:r>
    </w:p>
    <w:p>
      <w:pPr>
        <w:pStyle w:val="null3"/>
        <w:ind w:firstLine="960"/>
      </w:pPr>
      <w:r>
        <w:rPr>
          <w:rFonts w:ascii="仿宋_GB2312" w:hAnsi="仿宋_GB2312" w:cs="仿宋_GB2312" w:eastAsia="仿宋_GB2312"/>
        </w:rPr>
        <w:t>详见附件：7.校园文化.docx</w:t>
      </w:r>
    </w:p>
    <w:p>
      <w:pPr>
        <w:pStyle w:val="null3"/>
        <w:ind w:firstLine="960"/>
      </w:pPr>
      <w:r>
        <w:rPr>
          <w:rFonts w:ascii="仿宋_GB2312" w:hAnsi="仿宋_GB2312" w:cs="仿宋_GB2312" w:eastAsia="仿宋_GB2312"/>
        </w:rPr>
        <w:t>详见附件：8.供应商业绩一览表.docx</w:t>
      </w:r>
    </w:p>
    <w:p>
      <w:pPr>
        <w:pStyle w:val="null3"/>
        <w:ind w:firstLine="960"/>
      </w:pPr>
      <w:r>
        <w:rPr>
          <w:rFonts w:ascii="仿宋_GB2312" w:hAnsi="仿宋_GB2312" w:cs="仿宋_GB2312" w:eastAsia="仿宋_GB2312"/>
        </w:rPr>
        <w:t>详见附件：9.供应商承诺书和供应商认为的其他相关证明资料.docx</w:t>
      </w:r>
    </w:p>
    <w:p>
      <w:pPr>
        <w:pStyle w:val="null3"/>
        <w:ind w:firstLine="960"/>
      </w:pPr>
      <w:r>
        <w:rPr>
          <w:rFonts w:ascii="仿宋_GB2312" w:hAnsi="仿宋_GB2312" w:cs="仿宋_GB2312" w:eastAsia="仿宋_GB2312"/>
        </w:rPr>
        <w:t>详见附件：10.本国产品标准的声明函.docx</w:t>
      </w:r>
    </w:p>
    <w:p>
      <w:pPr>
        <w:pStyle w:val="null3"/>
        <w:ind w:firstLine="960"/>
      </w:pPr>
      <w:r>
        <w:rPr>
          <w:rFonts w:ascii="仿宋_GB2312" w:hAnsi="仿宋_GB2312" w:cs="仿宋_GB2312" w:eastAsia="仿宋_GB2312"/>
        </w:rPr>
        <w:t>详见附件：11.投标保证金缴纳凭证.docx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