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版本号：HCLG2026-01220260414002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水力发电机组控制实验系统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HCLG2026-012</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水力发电机组控制实验系统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HCLG2026-012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水力发电机组控制实验系统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水力发电机组控制实验系统主要包括发电机组、变频装置、电气一次及同期装置、励磁系统、水轮机调速器系统，该系统可以模拟不同特性的水力发电机组，通过励磁系统和调速器系统对不同特性的水力发电机组实现控制，实现水力发电机组的基本功能，完成水力发电机组的各种实验。系统可以改变水轮发电机组的模拟模块，可更换控制策略，研究不同工况下调速器励磁系统的工作特性，为适应不同的运行工况提供研究支撑。可以让学生深入了解和学习控制系统对发电机组运行的重要作用，使学生了解新型电力系统下机组调速系统、励磁系统对电网的影响。通过对水轮机模型的修改，可以了解不同水轮机特性对系统调节性能的影响。同时可为校内外科研人员提供稳定、可靠的测试服务，促进学术交流与合作；同时，新设备将助力提升水电生产的智能化水平，提供科学的建议，推动科研成果的有效转化。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以上形式的资料提供任何一种即可）。</w:t>
      </w:r>
    </w:p>
    <w:p>
      <w:pPr>
        <w:pStyle w:val="null3"/>
      </w:pPr>
      <w:r>
        <w:rPr>
          <w:rFonts w:ascii="仿宋_GB2312" w:hAnsi="仿宋_GB2312" w:cs="仿宋_GB2312" w:eastAsia="仿宋_GB2312"/>
        </w:rPr>
        <w:t>3、税收缴纳证明：提供投标文件截止时间前一年内任意一个月的证明（时间以税款所属日期为准），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4、社会保障资金缴纳证明：提供投标文件截止时间前一年内任意一个月的社会保障资金缴存单据或社保机构开具的社会保险参保缴费情况证明，依法不需要缴纳社会保障资金的单位应提供相关证明材料。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失信主体、严重失信主体名单的书面声明。本项目拒绝被列入失信被执行人、重大税收违法失信主体、严重失信主体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7、法定代表人授权书：法定代表人授权书及被授权人身份证复印件。（法定代表人直接投标只须提交其身份证明书）。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029-82312850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陕西省西安市碑林区西安市碑林区南二环西段21号华融国际商务大厦B-1701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13259773661/02989115858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开户名称：华春建设工程项目管理有限责任公司</w:t>
            </w:r>
          </w:p>
          <w:p>
            <w:pPr>
              <w:pStyle w:val="null3"/>
            </w:pPr>
            <w:r>
              <w:rPr>
                <w:rFonts w:ascii="仿宋_GB2312" w:hAnsi="仿宋_GB2312" w:cs="仿宋_GB2312" w:eastAsia="仿宋_GB2312"/>
              </w:rPr>
              <w:t>开户银行：平安银行西安分行营业部</w:t>
            </w:r>
          </w:p>
          <w:p>
            <w:pPr>
              <w:pStyle w:val="null3"/>
            </w:pPr>
            <w:r>
              <w:rPr>
                <w:rFonts w:ascii="仿宋_GB2312" w:hAnsi="仿宋_GB2312" w:cs="仿宋_GB2312" w:eastAsia="仿宋_GB2312"/>
              </w:rPr>
              <w:t>银行账号：30208471002823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说明：本采购包履约保证金为合同金额的5%</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投标人应依据成交金额向采购代理机构交纳成交服务费，交费金额参照国家计委颁布的《招标代理服务收费管理暂行办法》（计价格[2002]1980号）及发改办价格[2003]857号文件的规定标准费的62%收取。2、本项目中标服务费按货物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连续运行48小时无故障； 关键参数与投标文件承诺值对比（允许±3%偏差）。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联系人：王莉</w:t>
      </w:r>
    </w:p>
    <w:p>
      <w:pPr>
        <w:pStyle w:val="null3"/>
      </w:pPr>
      <w:r>
        <w:rPr>
          <w:rFonts w:ascii="仿宋_GB2312" w:hAnsi="仿宋_GB2312" w:cs="仿宋_GB2312" w:eastAsia="仿宋_GB2312"/>
        </w:rPr>
        <w:t>联系电话：13259773661</w:t>
      </w:r>
    </w:p>
    <w:p>
      <w:pPr>
        <w:pStyle w:val="null3"/>
      </w:pPr>
      <w:r>
        <w:rPr>
          <w:rFonts w:ascii="仿宋_GB2312" w:hAnsi="仿宋_GB2312" w:cs="仿宋_GB2312" w:eastAsia="仿宋_GB2312"/>
        </w:rPr>
        <w:t>地址：陕西省西安市碑林区南二环西段21号华融国际商务大厦B-1701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水力发电机组控制实验系统主要包括发电机组、变频装置、电气一次及同期装置、励磁系统、水轮机调速器系统，该系统可以模拟不同特性的水力发电机组，通过励磁系统和调速器系统对不同特性的水力发电机组实现控制，实现水力发电机组的基本功能，完成水力发电机组的各种实验。系统可以改变水轮发电机组的模拟模块，可更换控制策略，研究不同工况下调速器励磁系统的工作特性，为适应不同的运行工况提供研究支撑。可以让学生深入了解和学习控制系统对发电机组运行的重要作用，使学生了解新型电力系统下机组调速系统、励磁系统对电网的影响。通过对水轮机模型的修改，可以了解不同水轮机特性对系统调节性能的影响。同时可为校内外科研人员提供稳定、可靠的测试服务，促进学术交流与合作；同时，新设备将助力提升水电生产的智能化水平，提供科学的建议，推动科研成果的有效转化。详见招标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1,150,000.00</w:t>
      </w:r>
    </w:p>
    <w:p>
      <w:pPr>
        <w:pStyle w:val="null3"/>
      </w:pPr>
      <w:r>
        <w:rPr>
          <w:rFonts w:ascii="仿宋_GB2312" w:hAnsi="仿宋_GB2312" w:cs="仿宋_GB2312" w:eastAsia="仿宋_GB2312"/>
        </w:rPr>
        <w:t>采购包最高限价（元）: 1,150,000.00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水力发电机组控制实验系统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1,150,000.00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标的名称：水力发电机组控制实验系统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color w:val="000000"/>
              </w:rPr>
              <w:t xml:space="preserve">   水力发电机组控制实验系统采购清单及产品数量</w:t>
            </w:r>
          </w:p>
          <w:tbl>
            <w:tblPr>
              <w:tblBorders>
                <w:top w:val="none" w:color="000000" w:sz="4"/>
                <w:left w:val="none" w:color="000000" w:sz="4"/>
                <w:bottom w:val="none" w:color="000000" w:sz="4"/>
                <w:right w:val="none" w:color="000000" w:sz="4"/>
                <w:insideH w:val="none"/>
                <w:insideV w:val="none"/>
              </w:tblBorders>
            </w:tblPr>
            <w:tblGrid>
              <w:gridCol w:w="302"/>
              <w:gridCol w:w="1648"/>
              <w:gridCol w:w="348"/>
            </w:tblGrid>
            <w:tr>
              <w:tc>
                <w:tcPr>
                  <w:tcW w:type="dxa" w:w="30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序号</w:t>
                  </w:r>
                </w:p>
              </w:tc>
              <w:tc>
                <w:tcPr>
                  <w:tcW w:type="dxa" w:w="164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货物名称</w:t>
                  </w:r>
                </w:p>
              </w:tc>
              <w:tc>
                <w:tcPr>
                  <w:tcW w:type="dxa" w:w="34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数量</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16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发电机组（核心产品）</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b/>
                      <w:color w:val="000000"/>
                    </w:rPr>
                    <w:t>1套</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w:t>
                  </w:r>
                </w:p>
              </w:tc>
              <w:tc>
                <w:tcPr>
                  <w:tcW w:type="dxa" w:w="16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变频装置</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b/>
                      <w:color w:val="000000"/>
                    </w:rPr>
                    <w:t>1套</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w:t>
                  </w:r>
                </w:p>
              </w:tc>
              <w:tc>
                <w:tcPr>
                  <w:tcW w:type="dxa" w:w="16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电气一次及同期装置</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b/>
                      <w:color w:val="000000"/>
                    </w:rPr>
                    <w:t>1套</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4</w:t>
                  </w:r>
                </w:p>
              </w:tc>
              <w:tc>
                <w:tcPr>
                  <w:tcW w:type="dxa" w:w="16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励磁系统</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b/>
                      <w:color w:val="000000"/>
                    </w:rPr>
                    <w:t>1套</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5</w:t>
                  </w:r>
                </w:p>
              </w:tc>
              <w:tc>
                <w:tcPr>
                  <w:tcW w:type="dxa" w:w="16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水轮机调速器系统</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b/>
                      <w:color w:val="000000"/>
                    </w:rPr>
                    <w:t>1套</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产品质保</w:t>
                  </w:r>
                </w:p>
              </w:tc>
              <w:tc>
                <w:tcPr>
                  <w:tcW w:type="dxa" w:w="199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0"/>
                      <w:b/>
                      <w:color w:val="000000"/>
                    </w:rPr>
                    <w:t>所有设备免费质保期不低于5年。质保期自甲方在货物质量验收合格之日起计算。质保期内出现任何非人为故意损坏的质量问题，由乙方负责，并承担相关的全部费用。</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color w:val="000000"/>
              </w:rPr>
              <w:t>一、发电机组</w:t>
            </w:r>
          </w:p>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组成：拖动电机1台、发电机1台及支撑底座构件1套，尺寸和结构强度满足拖动电机和发电机安装要求；</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配置设备在实验运行时防震垫、绝缘垫、吸声材料等措施减少震动、噪音，提高安全性</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3.配套相应的测速传感器等自动化元件，精度不低于0.5%，测速范围不低于额定转速的150%；</w:t>
            </w:r>
          </w:p>
          <w:p>
            <w:pPr>
              <w:pStyle w:val="null3"/>
            </w:pPr>
            <w:r>
              <w:rPr>
                <w:rFonts w:ascii="仿宋_GB2312" w:hAnsi="仿宋_GB2312" w:cs="仿宋_GB2312" w:eastAsia="仿宋_GB2312"/>
                <w:sz w:val="20"/>
                <w:color w:val="000000"/>
              </w:rPr>
              <w:t>4.▲</w:t>
            </w:r>
            <w:r>
              <w:rPr>
                <w:rFonts w:ascii="仿宋_GB2312" w:hAnsi="仿宋_GB2312" w:cs="仿宋_GB2312" w:eastAsia="仿宋_GB2312"/>
                <w:sz w:val="20"/>
                <w:color w:val="000000"/>
              </w:rPr>
              <w:t>拖动电机功率大于等于11kW，发电机功率为10kW，额定工作电压为AC380V。</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二、</w:t>
            </w:r>
            <w:r>
              <w:rPr>
                <w:rFonts w:ascii="仿宋_GB2312" w:hAnsi="仿宋_GB2312" w:cs="仿宋_GB2312" w:eastAsia="仿宋_GB2312"/>
                <w:sz w:val="20"/>
                <w:color w:val="000000"/>
              </w:rPr>
              <w:t>变频装置</w:t>
            </w:r>
          </w:p>
          <w:p>
            <w:pPr>
              <w:pStyle w:val="null3"/>
            </w:pPr>
            <w:r>
              <w:rPr>
                <w:rFonts w:ascii="仿宋_GB2312" w:hAnsi="仿宋_GB2312" w:cs="仿宋_GB2312" w:eastAsia="仿宋_GB2312"/>
                <w:sz w:val="20"/>
                <w:color w:val="000000"/>
              </w:rPr>
              <w:t>5.▲</w:t>
            </w:r>
            <w:r>
              <w:rPr>
                <w:rFonts w:ascii="仿宋_GB2312" w:hAnsi="仿宋_GB2312" w:cs="仿宋_GB2312" w:eastAsia="仿宋_GB2312"/>
                <w:sz w:val="20"/>
                <w:color w:val="000000"/>
              </w:rPr>
              <w:t>功率单元额定功率大于等于11kW，能够匹配发电机组的需求，变频范围0-100Hz，额定电压为AC380V；</w:t>
            </w:r>
          </w:p>
          <w:p>
            <w:pPr>
              <w:pStyle w:val="null3"/>
            </w:pPr>
            <w:r>
              <w:rPr>
                <w:rFonts w:ascii="仿宋_GB2312" w:hAnsi="仿宋_GB2312" w:cs="仿宋_GB2312" w:eastAsia="仿宋_GB2312"/>
                <w:sz w:val="20"/>
                <w:color w:val="000000"/>
              </w:rPr>
              <w:t>6.控制单元具有矢量控制和VF控制功能，具有网络通讯接口，具备以太网络接口和485接口；</w:t>
            </w:r>
          </w:p>
          <w:p>
            <w:pPr>
              <w:pStyle w:val="null3"/>
            </w:pPr>
            <w:r>
              <w:rPr>
                <w:rFonts w:ascii="仿宋_GB2312" w:hAnsi="仿宋_GB2312" w:cs="仿宋_GB2312" w:eastAsia="仿宋_GB2312"/>
                <w:sz w:val="20"/>
                <w:color w:val="000000"/>
              </w:rPr>
              <w:t>7.系统通信时间延迟≤20ms；</w:t>
            </w:r>
          </w:p>
          <w:p>
            <w:pPr>
              <w:pStyle w:val="null3"/>
            </w:pPr>
            <w:r>
              <w:rPr>
                <w:rFonts w:ascii="仿宋_GB2312" w:hAnsi="仿宋_GB2312" w:cs="仿宋_GB2312" w:eastAsia="仿宋_GB2312"/>
                <w:sz w:val="20"/>
                <w:color w:val="000000"/>
              </w:rPr>
              <w:t>8.</w:t>
            </w:r>
            <w:r>
              <w:rPr>
                <w:rFonts w:ascii="仿宋_GB2312" w:hAnsi="仿宋_GB2312" w:cs="仿宋_GB2312" w:eastAsia="仿宋_GB2312"/>
                <w:sz w:val="20"/>
                <w:color w:val="000000"/>
              </w:rPr>
              <w:t>▲</w:t>
            </w:r>
            <w:r>
              <w:rPr>
                <w:rFonts w:ascii="仿宋_GB2312" w:hAnsi="仿宋_GB2312" w:cs="仿宋_GB2312" w:eastAsia="仿宋_GB2312"/>
                <w:sz w:val="20"/>
                <w:color w:val="000000"/>
              </w:rPr>
              <w:t>系统具有模拟水电站系统的流程控制功能模块，可方便更换控制策略，配置有人机接口，实验过程的数据具备自动记录功能，并能够根据要求绘制相应的数据变化曲线，对各种操作记录具有自动记录功能。</w:t>
            </w:r>
          </w:p>
          <w:p>
            <w:pPr>
              <w:pStyle w:val="null3"/>
            </w:pPr>
            <w:r>
              <w:rPr>
                <w:rFonts w:ascii="仿宋_GB2312" w:hAnsi="仿宋_GB2312" w:cs="仿宋_GB2312" w:eastAsia="仿宋_GB2312"/>
                <w:sz w:val="20"/>
                <w:color w:val="000000"/>
              </w:rPr>
              <w:t>9.断路器、接触器等设备具有远程操控及状态检测功能</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三、</w:t>
            </w:r>
            <w:r>
              <w:rPr>
                <w:rFonts w:ascii="仿宋_GB2312" w:hAnsi="仿宋_GB2312" w:cs="仿宋_GB2312" w:eastAsia="仿宋_GB2312"/>
                <w:sz w:val="20"/>
                <w:color w:val="000000"/>
              </w:rPr>
              <w:t>电气一次及同期装置</w:t>
            </w:r>
          </w:p>
          <w:p>
            <w:pPr>
              <w:pStyle w:val="null3"/>
            </w:pPr>
            <w:r>
              <w:rPr>
                <w:rFonts w:ascii="仿宋_GB2312" w:hAnsi="仿宋_GB2312" w:cs="仿宋_GB2312" w:eastAsia="仿宋_GB2312"/>
                <w:sz w:val="20"/>
                <w:color w:val="000000"/>
              </w:rPr>
              <w:t>10.▲</w:t>
            </w:r>
            <w:r>
              <w:rPr>
                <w:rFonts w:ascii="仿宋_GB2312" w:hAnsi="仿宋_GB2312" w:cs="仿宋_GB2312" w:eastAsia="仿宋_GB2312"/>
                <w:sz w:val="20"/>
                <w:color w:val="000000"/>
              </w:rPr>
              <w:t>包括相关的断路器、接触器、电流互感器、同期装置等一次及控制设备；</w:t>
            </w:r>
          </w:p>
          <w:p>
            <w:pPr>
              <w:pStyle w:val="null3"/>
            </w:pPr>
            <w:r>
              <w:rPr>
                <w:rFonts w:ascii="仿宋_GB2312" w:hAnsi="仿宋_GB2312" w:cs="仿宋_GB2312" w:eastAsia="仿宋_GB2312"/>
                <w:sz w:val="20"/>
                <w:color w:val="000000"/>
              </w:rPr>
              <w:t>11.▲</w:t>
            </w:r>
            <w:r>
              <w:rPr>
                <w:rFonts w:ascii="仿宋_GB2312" w:hAnsi="仿宋_GB2312" w:cs="仿宋_GB2312" w:eastAsia="仿宋_GB2312"/>
                <w:sz w:val="20"/>
                <w:color w:val="000000"/>
              </w:rPr>
              <w:t>设备具有远程操控功能及状态检测功能；</w:t>
            </w:r>
          </w:p>
          <w:p>
            <w:pPr>
              <w:pStyle w:val="null3"/>
            </w:pPr>
            <w:r>
              <w:rPr>
                <w:rFonts w:ascii="仿宋_GB2312" w:hAnsi="仿宋_GB2312" w:cs="仿宋_GB2312" w:eastAsia="仿宋_GB2312"/>
                <w:sz w:val="20"/>
                <w:color w:val="000000"/>
              </w:rPr>
              <w:t>12.该设备配置人机接口，包括以太网口和485接口各不少于1个；</w:t>
            </w:r>
          </w:p>
          <w:p>
            <w:pPr>
              <w:pStyle w:val="null3"/>
            </w:pPr>
            <w:r>
              <w:rPr>
                <w:rFonts w:ascii="仿宋_GB2312" w:hAnsi="仿宋_GB2312" w:cs="仿宋_GB2312" w:eastAsia="仿宋_GB2312"/>
                <w:sz w:val="20"/>
                <w:color w:val="000000"/>
              </w:rPr>
              <w:t>13.实验过程的数据具备自动记录功能，并能够根据要求绘制相应的数据变化曲线，对各种操作记录具有自动记录功能。</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0"/>
                <w:color w:val="000000"/>
              </w:rPr>
              <w:t>四、励磁系统</w:t>
            </w:r>
          </w:p>
          <w:p>
            <w:pPr>
              <w:pStyle w:val="null3"/>
            </w:pPr>
            <w:r>
              <w:rPr>
                <w:rFonts w:ascii="仿宋_GB2312" w:hAnsi="仿宋_GB2312" w:cs="仿宋_GB2312" w:eastAsia="仿宋_GB2312"/>
                <w:sz w:val="20"/>
                <w:color w:val="000000"/>
              </w:rPr>
              <w:t>14.▲</w:t>
            </w:r>
            <w:r>
              <w:rPr>
                <w:rFonts w:ascii="仿宋_GB2312" w:hAnsi="仿宋_GB2312" w:cs="仿宋_GB2312" w:eastAsia="仿宋_GB2312"/>
                <w:sz w:val="20"/>
                <w:color w:val="000000"/>
              </w:rPr>
              <w:t>励磁系统要求具有非线性电阻灭磁系统和逆变灭磁能力；</w:t>
            </w:r>
          </w:p>
          <w:p>
            <w:pPr>
              <w:pStyle w:val="null3"/>
            </w:pPr>
            <w:r>
              <w:rPr>
                <w:rFonts w:ascii="仿宋_GB2312" w:hAnsi="仿宋_GB2312" w:cs="仿宋_GB2312" w:eastAsia="仿宋_GB2312"/>
                <w:sz w:val="20"/>
                <w:color w:val="000000"/>
              </w:rPr>
              <w:t>15.▲</w:t>
            </w:r>
            <w:r>
              <w:rPr>
                <w:rFonts w:ascii="仿宋_GB2312" w:hAnsi="仿宋_GB2312" w:cs="仿宋_GB2312" w:eastAsia="仿宋_GB2312"/>
                <w:sz w:val="20"/>
                <w:color w:val="000000"/>
              </w:rPr>
              <w:t>测频系统小于等于5ms计算一次频率；</w:t>
            </w:r>
          </w:p>
          <w:p>
            <w:pPr>
              <w:pStyle w:val="null3"/>
            </w:pPr>
            <w:r>
              <w:rPr>
                <w:rFonts w:ascii="仿宋_GB2312" w:hAnsi="仿宋_GB2312" w:cs="仿宋_GB2312" w:eastAsia="仿宋_GB2312"/>
                <w:sz w:val="20"/>
                <w:color w:val="000000"/>
              </w:rPr>
              <w:t>16.具有可适应变速机组的控制功能，能够闭环控制实验系统；</w:t>
            </w:r>
          </w:p>
          <w:p>
            <w:pPr>
              <w:pStyle w:val="null3"/>
            </w:pPr>
            <w:r>
              <w:rPr>
                <w:rFonts w:ascii="仿宋_GB2312" w:hAnsi="仿宋_GB2312" w:cs="仿宋_GB2312" w:eastAsia="仿宋_GB2312"/>
                <w:sz w:val="20"/>
                <w:color w:val="000000"/>
              </w:rPr>
              <w:t>17.系统通信时间延迟≤20ms；</w:t>
            </w:r>
          </w:p>
          <w:p>
            <w:pPr>
              <w:pStyle w:val="null3"/>
            </w:pPr>
            <w:r>
              <w:rPr>
                <w:rFonts w:ascii="仿宋_GB2312" w:hAnsi="仿宋_GB2312" w:cs="仿宋_GB2312" w:eastAsia="仿宋_GB2312"/>
                <w:sz w:val="20"/>
                <w:color w:val="000000"/>
              </w:rPr>
              <w:t>18.系统具有模拟水轮发电机特性的模块，可方便更换控制策略；</w:t>
            </w:r>
          </w:p>
          <w:p>
            <w:pPr>
              <w:pStyle w:val="null3"/>
            </w:pPr>
            <w:r>
              <w:rPr>
                <w:rFonts w:ascii="仿宋_GB2312" w:hAnsi="仿宋_GB2312" w:cs="仿宋_GB2312" w:eastAsia="仿宋_GB2312"/>
                <w:sz w:val="20"/>
                <w:color w:val="000000"/>
              </w:rPr>
              <w:t>19.该系统配置人机接口，具有以太网络接口和485（232）接口；</w:t>
            </w:r>
          </w:p>
          <w:p>
            <w:pPr>
              <w:pStyle w:val="null3"/>
            </w:pPr>
            <w:r>
              <w:rPr>
                <w:rFonts w:ascii="仿宋_GB2312" w:hAnsi="仿宋_GB2312" w:cs="仿宋_GB2312" w:eastAsia="仿宋_GB2312"/>
                <w:sz w:val="20"/>
                <w:color w:val="000000"/>
              </w:rPr>
              <w:t>20.实验过程的数据具备自动记录功能，并能够根据要求绘制相应的数据变化曲线，对各种操作记录具有自动记录功能。</w:t>
            </w:r>
          </w:p>
          <w:p>
            <w:pPr>
              <w:pStyle w:val="null3"/>
            </w:pPr>
            <w:r>
              <w:rPr>
                <w:rFonts w:ascii="仿宋_GB2312" w:hAnsi="仿宋_GB2312" w:cs="仿宋_GB2312" w:eastAsia="仿宋_GB2312"/>
                <w:sz w:val="20"/>
                <w:color w:val="000000"/>
              </w:rPr>
              <w:t>21.断路器、接触器等设备具有远程操控及状态检测功能。</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0"/>
                <w:color w:val="000000"/>
              </w:rPr>
              <w:t>五、水轮机调速器系统</w:t>
            </w:r>
          </w:p>
          <w:p>
            <w:pPr>
              <w:pStyle w:val="null3"/>
            </w:pPr>
            <w:r>
              <w:rPr>
                <w:rFonts w:ascii="仿宋_GB2312" w:hAnsi="仿宋_GB2312" w:cs="仿宋_GB2312" w:eastAsia="仿宋_GB2312"/>
                <w:sz w:val="20"/>
                <w:color w:val="000000"/>
              </w:rPr>
              <w:t>22.▲</w:t>
            </w:r>
            <w:r>
              <w:rPr>
                <w:rFonts w:ascii="仿宋_GB2312" w:hAnsi="仿宋_GB2312" w:cs="仿宋_GB2312" w:eastAsia="仿宋_GB2312"/>
                <w:sz w:val="20"/>
                <w:color w:val="000000"/>
              </w:rPr>
              <w:t>调速器接力器不动时间≤0.2s；</w:t>
            </w:r>
          </w:p>
          <w:p>
            <w:pPr>
              <w:pStyle w:val="null3"/>
            </w:pPr>
            <w:r>
              <w:rPr>
                <w:rFonts w:ascii="仿宋_GB2312" w:hAnsi="仿宋_GB2312" w:cs="仿宋_GB2312" w:eastAsia="仿宋_GB2312"/>
                <w:sz w:val="20"/>
                <w:color w:val="000000"/>
              </w:rPr>
              <w:t>23.▲</w:t>
            </w:r>
            <w:r>
              <w:rPr>
                <w:rFonts w:ascii="仿宋_GB2312" w:hAnsi="仿宋_GB2312" w:cs="仿宋_GB2312" w:eastAsia="仿宋_GB2312"/>
                <w:sz w:val="20"/>
                <w:color w:val="000000"/>
              </w:rPr>
              <w:t>油压装置油压等级为16MPa；</w:t>
            </w:r>
          </w:p>
          <w:p>
            <w:pPr>
              <w:pStyle w:val="null3"/>
            </w:pPr>
            <w:r>
              <w:rPr>
                <w:rFonts w:ascii="仿宋_GB2312" w:hAnsi="仿宋_GB2312" w:cs="仿宋_GB2312" w:eastAsia="仿宋_GB2312"/>
                <w:sz w:val="20"/>
                <w:color w:val="000000"/>
              </w:rPr>
              <w:t>24.▲</w:t>
            </w:r>
            <w:r>
              <w:rPr>
                <w:rFonts w:ascii="仿宋_GB2312" w:hAnsi="仿宋_GB2312" w:cs="仿宋_GB2312" w:eastAsia="仿宋_GB2312"/>
                <w:sz w:val="20"/>
                <w:color w:val="000000"/>
              </w:rPr>
              <w:t>测频系统小于等于5ms计算一次频率；</w:t>
            </w:r>
          </w:p>
          <w:p>
            <w:pPr>
              <w:pStyle w:val="null3"/>
            </w:pPr>
            <w:r>
              <w:rPr>
                <w:rFonts w:ascii="仿宋_GB2312" w:hAnsi="仿宋_GB2312" w:cs="仿宋_GB2312" w:eastAsia="仿宋_GB2312"/>
                <w:sz w:val="20"/>
                <w:color w:val="000000"/>
              </w:rPr>
              <w:t>25.具有可适应变速机组的控制功能，能够闭环控制实验系统；</w:t>
            </w:r>
          </w:p>
          <w:p>
            <w:pPr>
              <w:pStyle w:val="null3"/>
            </w:pPr>
            <w:r>
              <w:rPr>
                <w:rFonts w:ascii="仿宋_GB2312" w:hAnsi="仿宋_GB2312" w:cs="仿宋_GB2312" w:eastAsia="仿宋_GB2312"/>
                <w:sz w:val="20"/>
                <w:color w:val="000000"/>
              </w:rPr>
              <w:t>26.系统通信时间延迟≤20ms；</w:t>
            </w:r>
          </w:p>
          <w:p>
            <w:pPr>
              <w:pStyle w:val="null3"/>
            </w:pPr>
            <w:r>
              <w:rPr>
                <w:rFonts w:ascii="仿宋_GB2312" w:hAnsi="仿宋_GB2312" w:cs="仿宋_GB2312" w:eastAsia="仿宋_GB2312"/>
                <w:sz w:val="20"/>
                <w:color w:val="000000"/>
              </w:rPr>
              <w:t>27.系统具有模拟水轮机特性的模块，可方便更换控制策略；</w:t>
            </w:r>
          </w:p>
          <w:p>
            <w:pPr>
              <w:pStyle w:val="null3"/>
            </w:pPr>
            <w:r>
              <w:rPr>
                <w:rFonts w:ascii="仿宋_GB2312" w:hAnsi="仿宋_GB2312" w:cs="仿宋_GB2312" w:eastAsia="仿宋_GB2312"/>
                <w:sz w:val="20"/>
                <w:color w:val="000000"/>
              </w:rPr>
              <w:t>28.该系统配置人机接口，具有以太网络接口和485（232）接口；</w:t>
            </w:r>
          </w:p>
          <w:p>
            <w:pPr>
              <w:pStyle w:val="null3"/>
            </w:pPr>
            <w:r>
              <w:rPr>
                <w:rFonts w:ascii="仿宋_GB2312" w:hAnsi="仿宋_GB2312" w:cs="仿宋_GB2312" w:eastAsia="仿宋_GB2312"/>
                <w:sz w:val="20"/>
                <w:color w:val="000000"/>
              </w:rPr>
              <w:t>29.实验过程的数据具备自动记录功能，并能够根据要求绘制相应的数据变化曲线，对各种操作记录具有自动记录功能,具有实验流程控制功能；</w:t>
            </w:r>
          </w:p>
          <w:p>
            <w:pPr>
              <w:pStyle w:val="null3"/>
            </w:pPr>
            <w:r>
              <w:rPr>
                <w:rFonts w:ascii="仿宋_GB2312" w:hAnsi="仿宋_GB2312" w:cs="仿宋_GB2312" w:eastAsia="仿宋_GB2312"/>
                <w:sz w:val="20"/>
                <w:color w:val="000000"/>
              </w:rPr>
              <w:t>30.系统具有实验流程控制功能，控制系统中至少断路器、接触器设备具有远程操控及状态检测功能。</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0"/>
                <w:b/>
                <w:color w:val="000000"/>
              </w:rPr>
              <w:t>安装示意图</w:t>
            </w:r>
          </w:p>
          <w:p>
            <w:pPr>
              <w:pStyle w:val="null3"/>
            </w:pPr>
            <w:r>
              <w:drawing>
                <wp:inline distT="0" distR="0" distB="0" distL="0">
                  <wp:extent cx="1621155" cy="961860"/>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961860"/>
                          </a:xfrm>
                          <a:prstGeom prst="rect">
                            <a:avLst/>
                          </a:prstGeom>
                        </pic:spPr>
                      </pic:pic>
                    </a:graphicData>
                  </a:graphic>
                </wp:inline>
              </w:drawing>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合同签订后6个月完成供货，交货完成后2个月内完成安装调试。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 </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设备运抵甲方指定地点并经甲方初步查验无误后，乙方按照剩余合同额向甲方开具不可撤销、见索即付的银行保函，甲方收到银行保函正本后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连续运行48小时无故障； 关键参数与投标文件承诺值对比（允许±3%偏差）。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1）包装运输要求 包装标准：中标人提供产品及相关快递服务的包装要求，按照《商品包装政府采购需求标准（试行）》、《快递包装政府采购需求标准（试行）》执行，确保防潮、防震、防锈蚀； 运输方式：中标人自主选择，须购买全程运输保险，保证按期交付。不得断货，因断货造成的损失由中标人负责赔偿； 运输责任：运输由中标人负责，运杂费已包含在合同总价内。包括从货物供应地点运送至交付地点所含的运输费、装卸费、仓储费、保险费等； 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6、需执行的国家相关标准、行业标准、地方标准或者其他标准、规范。 《供配电系统设计规范》GB50052-2009； 《低压配电设计规范》GB50054-2011； 《电力装置的继电保护和自动装置设计规范》GB50062-2008； 《电力工程电缆设计规范》GB50217-2007； 《可编程控制器系统工程设计规定》HG/T2070-2000； 《仪表供电设计规定》HG/T20509-2000； 《自动化仪表选型规定》HG/T20507-2000； 《仪表配管配线设计规定》HG/T20512-2000； 《电能质量公用电网谐波》GB/T 14549－1993 《环境条件分类 环境参数数组分类及其严酷程度分级 第1部分：贮存》GB/T 4798.1-2019 《环境条件分类 环境参数数组分类及其严酷程度分级 第2部分：运输和装卸》GB/T 4798.2-2021 《电能质量 供电电压偏差》GB/T 12325 《电能质量 三相电压不平》GB/T 15543 《电能质量 电力系统频率偏差》GB/T 15945 7、采购标的的专用工具、备品备件、安装调试及配套工程、质量保证、售后服务等要求. （1）专用工具及备件 专用工具：提供专用维修工具包； 备品备件：免费提供相关的易损件。 （2）安装调试要求 安装标准：执行GB 50231-2009《机械设备安装工程施工及验收通用规范》； 调试周期：连续72小时无故障运行测试； 人员培训：提供相关操作人员培训资料。 （3）配套支撑底座 基础安装：免费提供安装及所需安装材料和设施，包含安装设备所需叉车及各种工具（需提前2日做好准备）。 （4）质量保证 延长质保：核心部件质保期延长至6年； 质量追溯：提供质量检验报告； 货物要求：以采购人的要求为准，为采购人提供全新的货物（包括零部件）。 （5）售后服务 响应时限：城区2小时/郊区4小时现场响应； 定期维护：每季度提供预防性维护服务。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中标供应商未按合同约定的交货日期交货的，每逾期一日，向采购人支付逾期交付货物价款的1%的违约金，但不超过合同总金额的10%。中标供应商支付逾期交货违约金并不免除其交货的责任。 如中标供应商在政府采购合同规定的交货日期后10天内仍未能交货，则视为中标供应商不能交货，采购人有权解除政府采购合同，中标供应商除退还已收取的货款外，还应向采购人偿付政府采购合同总金额10%的违约金。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政府采购电子化交易平台应用工作，供应商需要在线提交所有通过电子化交易平台实施的政府采购项目的投标文件。同时，中标人在领取中标通知书时需提交纸质版投标文件正本壹份、副本叁份。质版文件内容应与电子版文件内容保持一致。纸质版投标文件的正本和副本应采用粘贴方式左侧装订，不得采用活页夹的可随时拆换的方式装订，不得有零散页。应按档案要求必须编制目录，无少页、缺页的现象，并连续页码。 2、因系统录入问题，本项目付款支付约定说明如下，以本说明为准：分期付款+履约保函。合同签订后5个工作日内，甲方向乙方支付合同总价的40%；设备运抵甲方指定地点并经甲方初步查验无误后，乙方按照剩余合同额向甲方开具不可撤销、见索即付的银行保函，甲方收到银行保函正本后5个工作日内向乙方支付等额款项；设备安装调试完成，经甲方验收合格并签署《验收合格报告》后，乙方开具增值税专用发票，甲方5个工作日内向乙方退还不可撤销、见索即付的银行保函正本。 3、《国务院办公厅关于在政府采购中实施本国产品标准及相关政策的通知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 4、本项目落实的政府采购政策： （1）《政府采购促进中小企业发展管理办法》（财库〔2020〕46号）；（2）《财政部 司法部关于政府采购支持监狱企业发展有关问题的通知》（财库〔2014〕68号）；（3）《国务院办公厅关于建立政府强制采购节能产品制度的通知》（国发办〔2007〕51号）；（4）《关于印发节能产品政府采购品目清单的通知》（财库〔2019〕19号）；（5）《关于印发环境标志产品政府采购品目清单的通知》（财库〔2019〕18号）；（6）《三部门联合发布关于促进残疾人就业政府采购政策的通知》（财库〔2017〕141号）；（7）《财政部 发展改革委 生态环境部 市场监管总局关于调整优化节能产品、环境标志产品政府采购执行机制的通知》（财库〔2019〕9号）；（8）陕西省财政厅关于印发《陕西省中小企业政府采购信用融资办法》（陕财办采〔2018〕23号）；（9）《财政部 农业农村部 国家乡村振兴局关于运用政府采购政策支持乡村产业振兴的通知》（财库〔2021〕19 号）；（10）《财政部 农业农村部 国家乡村振兴局 中华全国供销合作总社关于印发&lt;关于深入开展政府采购脱贫地区农副产品工作推进乡村产业振兴的实施意见&gt;的通知》（财库〔2021〕20 号）；（11）《陕西省财政厅关于加快推进我省中小企业政府采购信用融资工作的通知》（陕财办采〔2020〕15号）；（12）《关于进一步加强政府绿色采购有关问题的通知》（陕财办采〔2021〕29号）；（13）《陕西省财政厅、中国人民银行西安分行关于深入推进政府采购信用融资业务的通知》（陕财办采〔2023〕5号）；（14）《国务院办公厅关于在政府采购中实施本国产品标准及相关政策的通知》（国办发〔2025〕34号）；（15）《关于推动解决政府采购异常低价问题的通知》（财库〔2026〕2号）（16）其他需要落实的政府采购政策，详见采购文件。如有最新颁布的政府采购政策，按最新的文件执行。 5、以保函形式交纳投标保证金的，投标人应在投标截止时间前将保函扫描成清晰的PDF文件，发送至邮箱373791152@qq.com（邮件命名：项目编号+采购包号+项目名称），并将保函原件单独递交至代理机构财务；投标人应在投标文件中附保函复印件或扫描件。保函必须由具有开具投标保函资格的单位开具；若投标人违约，开具保函单位承担连带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投标人认为有必要说明的问题.docx 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以上形式的资料提供任何一种即可）。</w:t>
            </w:r>
          </w:p>
        </w:tc>
        <w:tc>
          <w:tcPr>
            <w:tcW w:type="dxa" w:w="1661"/>
          </w:tcPr>
          <w:p>
            <w:pPr>
              <w:pStyle w:val="null3"/>
            </w:pPr>
            <w:r>
              <w:rPr>
                <w:rFonts w:ascii="仿宋_GB2312" w:hAnsi="仿宋_GB2312" w:cs="仿宋_GB2312" w:eastAsia="仿宋_GB2312"/>
              </w:rPr>
              <w:t>投标人认为有必要说明的问题.docx 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提供投标文件截止时间前一年内任意一个月的证明（时间以税款所属日期为准），凭据应有税务机关或代收机关的公章或业务专用章。依法免税或无须缴纳税收的投标人，应提供相应证明文件。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提供投标文件截止时间前一年内任意一个月的社会保障资金缴存单据或社保机构开具的社会保险参保缴费情况证明，依法不需要缴纳社会保障资金的单位应提供相关证明材料。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严重失信主体名单的书面声明。本项目拒绝被列入失信被执行人、重大税收违法失信主体、严重失信主体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60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w:t>
            </w:r>
          </w:p>
        </w:tc>
        <w:tc>
          <w:tcPr>
            <w:tcW w:type="dxa" w:w="1661"/>
          </w:tcPr>
          <w:p>
            <w:pPr>
              <w:pStyle w:val="null3"/>
            </w:pPr>
            <w:r>
              <w:rPr>
                <w:rFonts w:ascii="仿宋_GB2312" w:hAnsi="仿宋_GB2312" w:cs="仿宋_GB2312" w:eastAsia="仿宋_GB2312"/>
              </w:rPr>
              <w:t>投标人资格条件证明文件.docx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w:t>
            </w:r>
          </w:p>
        </w:tc>
        <w:tc>
          <w:tcPr>
            <w:tcW w:type="dxa" w:w="1661"/>
          </w:tcPr>
          <w:p>
            <w:pPr>
              <w:pStyle w:val="null3"/>
            </w:pPr>
            <w:r>
              <w:rPr>
                <w:rFonts w:ascii="仿宋_GB2312" w:hAnsi="仿宋_GB2312" w:cs="仿宋_GB2312" w:eastAsia="仿宋_GB2312"/>
              </w:rPr>
              <w:t>开标一览表 投标人资格条件证明文件.docx 投标函 商务应答表 投标文件封面 技术指标偏差表.docx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投标文件的有效期达到招标文件要求</w:t>
            </w:r>
          </w:p>
        </w:tc>
        <w:tc>
          <w:tcPr>
            <w:tcW w:type="dxa" w:w="3322"/>
          </w:tcPr>
          <w:p>
            <w:pPr>
              <w:pStyle w:val="null3"/>
            </w:pPr>
            <w:r>
              <w:rPr>
                <w:rFonts w:ascii="仿宋_GB2312" w:hAnsi="仿宋_GB2312" w:cs="仿宋_GB2312" w:eastAsia="仿宋_GB2312"/>
              </w:rPr>
              <w:t>投标文件的有效期达到招标文件要求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投标人认为有必要说明的问题.docx 开标一览表 投标函 商务应答表 技术参数.docx 投标文件封面 技术指标偏差表.docx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投标产品的技术指标、参数完全符合或优于招标文件要求，计30分，▲项参数每负偏离一项扣2分，非▲项参数负偏离一项扣0.5分，扣完为止。 注：提供▲项技术指标、参数的相应的证明材料（包括但不限于检测报告、实物照片、厂家技术规格书、产品彩页等），经评审专家审定得分。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技术参数.docx</w:t>
            </w:r>
          </w:p>
          <w:p>
            <w:pPr>
              <w:pStyle w:val="null3"/>
            </w:pPr>
            <w:r>
              <w:rPr>
                <w:rFonts w:ascii="仿宋_GB2312" w:hAnsi="仿宋_GB2312" w:cs="仿宋_GB2312" w:eastAsia="仿宋_GB2312"/>
              </w:rPr>
              <w:t>节能环保.docx</w:t>
            </w:r>
          </w:p>
        </w:tc>
      </w:tr>
      <w:tr>
        <w:tc>
          <w:tcPr>
            <w:tcW w:type="dxa" w:w="831"/>
            <w:vMerge/>
          </w:tcPr>
          <w:p/>
        </w:tc>
        <w:tc>
          <w:tcPr>
            <w:tcW w:type="dxa" w:w="1661"/>
          </w:tcPr>
          <w:p>
            <w:pPr>
              <w:pStyle w:val="null3"/>
            </w:pPr>
            <w:r>
              <w:rPr>
                <w:rFonts w:ascii="仿宋_GB2312" w:hAnsi="仿宋_GB2312" w:cs="仿宋_GB2312" w:eastAsia="仿宋_GB2312"/>
              </w:rPr>
              <w:t>整体项目方案</w:t>
            </w:r>
          </w:p>
        </w:tc>
        <w:tc>
          <w:tcPr>
            <w:tcW w:type="dxa" w:w="2492"/>
          </w:tcPr>
          <w:p>
            <w:pPr>
              <w:pStyle w:val="null3"/>
            </w:pPr>
            <w:r>
              <w:rPr>
                <w:rFonts w:ascii="仿宋_GB2312" w:hAnsi="仿宋_GB2312" w:cs="仿宋_GB2312" w:eastAsia="仿宋_GB2312"/>
              </w:rPr>
              <w:t>投标人针对本项目提供完整的项目实施方案，包括但不限于：①供货组织安排；②实施计划及进度计划；③质量管理与控制措施。方案各部分内容全面详细、阐述条理清晰详尽、符合本项目采购需求得9分；以上分项每缺少一项内容扣3分；有某一项不符合实际要求或不满足实施或不满足交付要求或套用其他项目内容的扣1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整体项目方案.docx</w:t>
            </w:r>
          </w:p>
        </w:tc>
      </w:tr>
      <w:tr>
        <w:tc>
          <w:tcPr>
            <w:tcW w:type="dxa" w:w="831"/>
            <w:vMerge/>
          </w:tcPr>
          <w:p/>
        </w:tc>
        <w:tc>
          <w:tcPr>
            <w:tcW w:type="dxa" w:w="1661"/>
          </w:tcPr>
          <w:p>
            <w:pPr>
              <w:pStyle w:val="null3"/>
            </w:pPr>
            <w:r>
              <w:rPr>
                <w:rFonts w:ascii="仿宋_GB2312" w:hAnsi="仿宋_GB2312" w:cs="仿宋_GB2312" w:eastAsia="仿宋_GB2312"/>
              </w:rPr>
              <w:t>安装与调试方案</w:t>
            </w:r>
          </w:p>
        </w:tc>
        <w:tc>
          <w:tcPr>
            <w:tcW w:type="dxa" w:w="2492"/>
          </w:tcPr>
          <w:p>
            <w:pPr>
              <w:pStyle w:val="null3"/>
            </w:pPr>
            <w:r>
              <w:rPr>
                <w:rFonts w:ascii="仿宋_GB2312" w:hAnsi="仿宋_GB2312" w:cs="仿宋_GB2312" w:eastAsia="仿宋_GB2312"/>
              </w:rPr>
              <w:t>投标人针对本项目提供完整的安装调试方案，包括但不限于：①满足现场运行需求的模拟和保护方案；②满足基础实验需求的实验方案；③满足需求的调试方案和安全保护方案。各部分内容全面详细、阐述条理清晰详尽、符合本项目采购需求得9分；以上分项每缺少一项内容扣3分；有某一项不符合实际要求或不满足实施要求或套用其他项目内容的扣1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安装与调试方案.docx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投标人针对本项目提供详细的产品质量保障方案，包括但不限于：①产品品牌、型号、 产地明确，备品配件供应有保障；②产品货源渠道（不限于制造商授权函、销售协议等）。方案各部分内容全面详细、阐述条理清晰详尽、符合本项目采购需求得6分；以上分项每缺少一项内容扣3分；有某一项不完整或不符合实际要求或不满足实施要求或套用其他项目内容的扣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质量保障.docx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在采购人对于产品售后服务要求的基础上，提供优化后的售后服务方案，保障采购人使用，包括但不限于：①售后服务承诺；②售后服务方案（须包含解决问题能力、紧急故障处理预案、故障维修响应时间及备品备件库的情况等）。方案各部分内容全面详细、阐述条理清晰详尽、符合本项目采购需求得8分；以上分项每缺少一项内容扣4分；有某一项不完整或不符合实际要求或不满足实施要求或套用其他项目内容的扣1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在采购人对于技术培训要求的基础上，提供优化后的产品培训方案，保障采购人能更快更顺利的投入使用，包括但不限于：①培训计划，含培训计划表、地点、时间及培训对象人数等；②培训内容，含所提供产品的原理和技术性能、操作维护方法、排除故障等。方案各部分内容全面详细、阐述条理清晰详尽、符合本项目采购需求得4分；以上分项每缺少一项内容扣2分；有某一项不完整或不符合实际要求或不满足实施要求或套用其他项目内容的扣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提供投标人2023年4月1日至今（以合同签订日期为准）同类项目完整合同，每提供1个计1分，最高得4分，提供不全不计分。 同类项目指：同类型或包含水电相关设备或系统的业绩证明材料。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价格分统一采用低价优先法计算，即满足招标文件要求且投标价格最低的投标报价为评标基准价，其价格分为满分。其他投标人的价格分统一按照下列公式计算：投标报价得分=(评标基准价／投标报价)×价格权值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详见附件：质量保障.docx</w:t>
      </w:r>
    </w:p>
    <w:p>
      <w:pPr>
        <w:pStyle w:val="null3"/>
        <w:ind w:firstLine="960"/>
      </w:pPr>
      <w:r>
        <w:rPr>
          <w:rFonts w:ascii="仿宋_GB2312" w:hAnsi="仿宋_GB2312" w:cs="仿宋_GB2312" w:eastAsia="仿宋_GB2312"/>
        </w:rPr>
        <w:t>详见附件：技术参数.docx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详见附件：整体项目方案.docx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详见附件：安装与调试方案.docx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详见附件：投标人认为有必要说明的问题.docx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详见附件：西安理工大学重大设备更新项目设备采购合同.docx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