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版本号：DQB-2026011-ZB20260416003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防火门等21种产品质量监督抽查项目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DQB-2026011-ZB</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防火门等21种产品质量监督抽查项目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DQB-2026011-ZB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防火门等21种产品质量监督抽查项目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防火门等21种产品质量监督抽查项目，包括采购包1：防火门等4种产品质量监督抽查、采购包2：消防水枪等5种产品质量监督抽查、采购包3：独立式感烟火灾探测报警器等4种产品质量监督抽查、采购包4：手提式干粉灭火器等4种产品质量监督抽查、采购包5：电动自行车电池等4种产品质量监督抽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11、检验检测机构资质认定证书：供应商须提供合法有效的计量认证证书（CMA）。</w:t>
      </w:r>
    </w:p>
    <w:p>
      <w:pPr>
        <w:pStyle w:val="null3"/>
      </w:pPr>
      <w:r>
        <w:rPr>
          <w:rFonts w:ascii="仿宋_GB2312" w:hAnsi="仿宋_GB2312" w:cs="仿宋_GB2312" w:eastAsia="仿宋_GB2312"/>
        </w:rPr>
        <w:t>12、其他特殊资格：本项目不接受从事承检产品生产、经营活动的供应商参与投标，供应商须提供相关声明。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11、检验检测机构资质认定证书：供应商须提供合法有效的计量认证证书（CMA）。</w:t>
      </w:r>
    </w:p>
    <w:p>
      <w:pPr>
        <w:pStyle w:val="null3"/>
      </w:pPr>
      <w:r>
        <w:rPr>
          <w:rFonts w:ascii="仿宋_GB2312" w:hAnsi="仿宋_GB2312" w:cs="仿宋_GB2312" w:eastAsia="仿宋_GB2312"/>
        </w:rPr>
        <w:t>12、其他特殊资格：本项目不接受从事承检产品生产、经营活动的供应商参与投标，供应商须提供相关声明。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11、检验检测机构资质认定证书：供应商须提供合法有效的计量认证证书（CMA）。</w:t>
      </w:r>
    </w:p>
    <w:p>
      <w:pPr>
        <w:pStyle w:val="null3"/>
      </w:pPr>
      <w:r>
        <w:rPr>
          <w:rFonts w:ascii="仿宋_GB2312" w:hAnsi="仿宋_GB2312" w:cs="仿宋_GB2312" w:eastAsia="仿宋_GB2312"/>
        </w:rPr>
        <w:t>12、其他特殊资格：本项目不接受从事承检产品生产、经营活动的供应商参与投标，供应商须提供相关声明。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11、检验检测机构资质认定证书：供应商须提供合法有效的计量认证证书（CMA）。</w:t>
      </w:r>
    </w:p>
    <w:p>
      <w:pPr>
        <w:pStyle w:val="null3"/>
      </w:pPr>
      <w:r>
        <w:rPr>
          <w:rFonts w:ascii="仿宋_GB2312" w:hAnsi="仿宋_GB2312" w:cs="仿宋_GB2312" w:eastAsia="仿宋_GB2312"/>
        </w:rPr>
        <w:t>12、其他特殊资格：本项目不接受从事承检产品生产、经营活动的供应商参与投标，供应商须提供相关声明。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11、检验检测机构资质认定证书：供应商须提供合法有效的计量认证证书（CMA）。</w:t>
      </w:r>
    </w:p>
    <w:p>
      <w:pPr>
        <w:pStyle w:val="null3"/>
      </w:pPr>
      <w:r>
        <w:rPr>
          <w:rFonts w:ascii="仿宋_GB2312" w:hAnsi="仿宋_GB2312" w:cs="仿宋_GB2312" w:eastAsia="仿宋_GB2312"/>
        </w:rPr>
        <w:t>12、其他特殊资格：本项目不接受从事承检产品生产、经营活动的供应商参与投标，供应商须提供相关声明。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姜仕路、李维婧、李寅辰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采购包1：309,476.00元</w:t>
            </w:r>
          </w:p>
          <w:p>
            <w:pPr>
              <w:pStyle w:val="null3"/>
            </w:pPr>
            <w:r>
              <w:rPr>
                <w:rFonts w:ascii="仿宋_GB2312" w:hAnsi="仿宋_GB2312" w:cs="仿宋_GB2312" w:eastAsia="仿宋_GB2312"/>
              </w:rPr>
              <w:t>采购包2：290,000.00元</w:t>
            </w:r>
          </w:p>
          <w:p>
            <w:pPr>
              <w:pStyle w:val="null3"/>
            </w:pPr>
            <w:r>
              <w:rPr>
                <w:rFonts w:ascii="仿宋_GB2312" w:hAnsi="仿宋_GB2312" w:cs="仿宋_GB2312" w:eastAsia="仿宋_GB2312"/>
              </w:rPr>
              <w:t>采购包3：500,000.00元</w:t>
            </w:r>
          </w:p>
          <w:p>
            <w:pPr>
              <w:pStyle w:val="null3"/>
            </w:pPr>
            <w:r>
              <w:rPr>
                <w:rFonts w:ascii="仿宋_GB2312" w:hAnsi="仿宋_GB2312" w:cs="仿宋_GB2312" w:eastAsia="仿宋_GB2312"/>
              </w:rPr>
              <w:t>采购包4：321,000.00元</w:t>
            </w:r>
          </w:p>
          <w:p>
            <w:pPr>
              <w:pStyle w:val="null3"/>
            </w:pPr>
            <w:r>
              <w:rPr>
                <w:rFonts w:ascii="仿宋_GB2312" w:hAnsi="仿宋_GB2312" w:cs="仿宋_GB2312" w:eastAsia="仿宋_GB2312"/>
              </w:rPr>
              <w:t>采购包5：486,000.00元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采购包2保证金金额：5,800.00元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采购包4保证金金额：6,000.00元</w:t>
            </w:r>
          </w:p>
          <w:p>
            <w:pPr>
              <w:pStyle w:val="null3"/>
            </w:pPr>
            <w:r>
              <w:rPr>
                <w:rFonts w:ascii="仿宋_GB2312" w:hAnsi="仿宋_GB2312" w:cs="仿宋_GB2312" w:eastAsia="仿宋_GB2312"/>
              </w:rPr>
              <w:t>采购包5保证金金额：9,700.00元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银行账号：52880188000154032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代理服务费收费标准：成交金额100万以下，按照费率1.5%计取（不足伍仟按伍仟收取）。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姜仕路、李维婧、李寅辰</w:t>
      </w:r>
    </w:p>
    <w:p>
      <w:pPr>
        <w:pStyle w:val="null3"/>
      </w:pPr>
      <w:r>
        <w:rPr>
          <w:rFonts w:ascii="仿宋_GB2312" w:hAnsi="仿宋_GB2312" w:cs="仿宋_GB2312" w:eastAsia="仿宋_GB2312"/>
        </w:rPr>
        <w:t>联系电话： 029-81169855</w:t>
      </w:r>
    </w:p>
    <w:p>
      <w:pPr>
        <w:pStyle w:val="null3"/>
      </w:pPr>
      <w:r>
        <w:rPr>
          <w:rFonts w:ascii="仿宋_GB2312" w:hAnsi="仿宋_GB2312" w:cs="仿宋_GB2312" w:eastAsia="仿宋_GB2312"/>
        </w:rPr>
        <w:t>地址： 陕西省西安市高新区丈八一路1号汇鑫中心D座2206</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防火门等21种产品质量监督抽查项目，包括采购包1：防火门等4种产品质量监督抽查、采购包2：消防水枪等5种产品质量监督抽查、采购包3：独立式感烟火灾探测报警器等4种产品质量监督抽查、采购包4：手提式干粉灭火器等4种产品质量监督抽查、采购包5：电动自行车电池等4种产品质量监督抽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309,476.00</w:t>
      </w:r>
    </w:p>
    <w:p>
      <w:pPr>
        <w:pStyle w:val="null3"/>
      </w:pPr>
      <w:r>
        <w:rPr>
          <w:rFonts w:ascii="仿宋_GB2312" w:hAnsi="仿宋_GB2312" w:cs="仿宋_GB2312" w:eastAsia="仿宋_GB2312"/>
        </w:rPr>
        <w:t>采购包最高限价（元）: 309,476.00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防火门等4种产品质量监督抽查</w:t>
            </w:r>
          </w:p>
        </w:tc>
        <w:tc>
          <w:tcPr>
            <w:tcW w:type="dxa" w:w="831"/>
          </w:tcPr>
          <w:p>
            <w:pPr>
              <w:pStyle w:val="null3"/>
              <w:jc w:val="right"/>
            </w:pPr>
            <w:r>
              <w:rPr>
                <w:rFonts w:ascii="仿宋_GB2312" w:hAnsi="仿宋_GB2312" w:cs="仿宋_GB2312" w:eastAsia="仿宋_GB2312"/>
              </w:rPr>
              <w:t>110.00</w:t>
            </w:r>
          </w:p>
        </w:tc>
        <w:tc>
          <w:tcPr>
            <w:tcW w:type="dxa" w:w="831"/>
          </w:tcPr>
          <w:p>
            <w:pPr>
              <w:pStyle w:val="null3"/>
              <w:jc w:val="right"/>
            </w:pPr>
            <w:r>
              <w:rPr>
                <w:rFonts w:ascii="仿宋_GB2312" w:hAnsi="仿宋_GB2312" w:cs="仿宋_GB2312" w:eastAsia="仿宋_GB2312"/>
              </w:rPr>
              <w:t>309,476.00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消防水枪等5种产品质量监督抽查</w:t>
            </w:r>
          </w:p>
        </w:tc>
        <w:tc>
          <w:tcPr>
            <w:tcW w:type="dxa" w:w="831"/>
          </w:tcPr>
          <w:p>
            <w:pPr>
              <w:pStyle w:val="null3"/>
              <w:jc w:val="right"/>
            </w:pPr>
            <w:r>
              <w:rPr>
                <w:rFonts w:ascii="仿宋_GB2312" w:hAnsi="仿宋_GB2312" w:cs="仿宋_GB2312" w:eastAsia="仿宋_GB2312"/>
              </w:rPr>
              <w:t>110.00</w:t>
            </w:r>
          </w:p>
        </w:tc>
        <w:tc>
          <w:tcPr>
            <w:tcW w:type="dxa" w:w="831"/>
          </w:tcPr>
          <w:p>
            <w:pPr>
              <w:pStyle w:val="null3"/>
              <w:jc w:val="right"/>
            </w:pPr>
            <w:r>
              <w:rPr>
                <w:rFonts w:ascii="仿宋_GB2312" w:hAnsi="仿宋_GB2312" w:cs="仿宋_GB2312" w:eastAsia="仿宋_GB2312"/>
              </w:rPr>
              <w:t>290,000.00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独立式感烟火灾探测报警器等4种产品质量监督抽查</w:t>
            </w:r>
          </w:p>
        </w:tc>
        <w:tc>
          <w:tcPr>
            <w:tcW w:type="dxa" w:w="831"/>
          </w:tcPr>
          <w:p>
            <w:pPr>
              <w:pStyle w:val="null3"/>
              <w:jc w:val="right"/>
            </w:pPr>
            <w:r>
              <w:rPr>
                <w:rFonts w:ascii="仿宋_GB2312" w:hAnsi="仿宋_GB2312" w:cs="仿宋_GB2312" w:eastAsia="仿宋_GB2312"/>
              </w:rPr>
              <w:t>160.00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321,000.00</w:t>
      </w:r>
    </w:p>
    <w:p>
      <w:pPr>
        <w:pStyle w:val="null3"/>
      </w:pPr>
      <w:r>
        <w:rPr>
          <w:rFonts w:ascii="仿宋_GB2312" w:hAnsi="仿宋_GB2312" w:cs="仿宋_GB2312" w:eastAsia="仿宋_GB2312"/>
        </w:rPr>
        <w:t>采购包最高限价（元）: 321,000.00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手提式干粉灭火器等4种产品质量监督抽查</w:t>
            </w:r>
          </w:p>
        </w:tc>
        <w:tc>
          <w:tcPr>
            <w:tcW w:type="dxa" w:w="831"/>
          </w:tcPr>
          <w:p>
            <w:pPr>
              <w:pStyle w:val="null3"/>
              <w:jc w:val="right"/>
            </w:pPr>
            <w:r>
              <w:rPr>
                <w:rFonts w:ascii="仿宋_GB2312" w:hAnsi="仿宋_GB2312" w:cs="仿宋_GB2312" w:eastAsia="仿宋_GB2312"/>
              </w:rPr>
              <w:t>120.00</w:t>
            </w:r>
          </w:p>
        </w:tc>
        <w:tc>
          <w:tcPr>
            <w:tcW w:type="dxa" w:w="831"/>
          </w:tcPr>
          <w:p>
            <w:pPr>
              <w:pStyle w:val="null3"/>
              <w:jc w:val="right"/>
            </w:pPr>
            <w:r>
              <w:rPr>
                <w:rFonts w:ascii="仿宋_GB2312" w:hAnsi="仿宋_GB2312" w:cs="仿宋_GB2312" w:eastAsia="仿宋_GB2312"/>
              </w:rPr>
              <w:t>321,000.00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486,000.00</w:t>
      </w:r>
    </w:p>
    <w:p>
      <w:pPr>
        <w:pStyle w:val="null3"/>
      </w:pPr>
      <w:r>
        <w:rPr>
          <w:rFonts w:ascii="仿宋_GB2312" w:hAnsi="仿宋_GB2312" w:cs="仿宋_GB2312" w:eastAsia="仿宋_GB2312"/>
        </w:rPr>
        <w:t>采购包最高限价（元）: 486,000.00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电动自行车电池等4种产品质量监督抽查</w:t>
            </w:r>
          </w:p>
        </w:tc>
        <w:tc>
          <w:tcPr>
            <w:tcW w:type="dxa" w:w="831"/>
          </w:tcPr>
          <w:p>
            <w:pPr>
              <w:pStyle w:val="null3"/>
              <w:jc w:val="right"/>
            </w:pPr>
            <w:r>
              <w:rPr>
                <w:rFonts w:ascii="仿宋_GB2312" w:hAnsi="仿宋_GB2312" w:cs="仿宋_GB2312" w:eastAsia="仿宋_GB2312"/>
              </w:rPr>
              <w:t>160.00</w:t>
            </w:r>
          </w:p>
        </w:tc>
        <w:tc>
          <w:tcPr>
            <w:tcW w:type="dxa" w:w="831"/>
          </w:tcPr>
          <w:p>
            <w:pPr>
              <w:pStyle w:val="null3"/>
              <w:jc w:val="right"/>
            </w:pPr>
            <w:r>
              <w:rPr>
                <w:rFonts w:ascii="仿宋_GB2312" w:hAnsi="仿宋_GB2312" w:cs="仿宋_GB2312" w:eastAsia="仿宋_GB2312"/>
              </w:rPr>
              <w:t>486,000.00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标的名称：防火门等4种产品质量监督抽查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1.参数 </w:t>
            </w:r>
          </w:p>
          <w:tbl>
            <w:tblPr>
              <w:tblBorders>
                <w:top w:val="none" w:color="000000" w:sz="4"/>
                <w:left w:val="none" w:color="000000" w:sz="4"/>
                <w:bottom w:val="none" w:color="000000" w:sz="4"/>
                <w:right w:val="none" w:color="000000" w:sz="4"/>
                <w:insideH w:val="none"/>
                <w:insideV w:val="none"/>
              </w:tblBorders>
            </w:tblPr>
            <w:tblGrid>
              <w:gridCol w:w="81"/>
              <w:gridCol w:w="134"/>
              <w:gridCol w:w="148"/>
              <w:gridCol w:w="104"/>
              <w:gridCol w:w="137"/>
              <w:gridCol w:w="165"/>
              <w:gridCol w:w="186"/>
              <w:gridCol w:w="1597"/>
            </w:tblGrid>
            <w:tr>
              <w:tc>
                <w:tcPr>
                  <w:tcW w:type="dxa" w:w="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b/>
                      <w:color w:val="000000"/>
                    </w:rPr>
                    <w:t>产品名称</w:t>
                  </w:r>
                </w:p>
              </w:tc>
              <w:tc>
                <w:tcPr>
                  <w:tcW w:type="dxa" w:w="1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购样</w:t>
                  </w:r>
                  <w:r>
                    <w:br/>
                  </w:r>
                  <w:r>
                    <w:rPr>
                      <w:rFonts w:ascii="仿宋_GB2312" w:hAnsi="仿宋_GB2312" w:cs="仿宋_GB2312" w:eastAsia="仿宋_GB2312"/>
                      <w:sz w:val="20"/>
                      <w:b/>
                      <w:color w:val="000000"/>
                    </w:rPr>
                    <w:t>单批次价格</w:t>
                  </w:r>
                  <w:r>
                    <w:br/>
                  </w:r>
                  <w:r>
                    <w:rPr>
                      <w:rFonts w:ascii="仿宋_GB2312" w:hAnsi="仿宋_GB2312" w:cs="仿宋_GB2312" w:eastAsia="仿宋_GB2312"/>
                      <w:sz w:val="20"/>
                      <w:b/>
                      <w:color w:val="000000"/>
                    </w:rPr>
                    <w:t>（万元</w:t>
                  </w:r>
                  <w:r>
                    <w:rPr>
                      <w:rFonts w:ascii="仿宋_GB2312" w:hAnsi="仿宋_GB2312" w:cs="仿宋_GB2312" w:eastAsia="仿宋_GB2312"/>
                      <w:sz w:val="20"/>
                      <w:b/>
                      <w:color w:val="000000"/>
                    </w:rPr>
                    <w:t>/批次）</w:t>
                  </w:r>
                </w:p>
              </w:tc>
              <w:tc>
                <w:tcPr>
                  <w:tcW w:type="dxa" w:w="24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定价招标，增加总批次数</w:t>
                  </w:r>
                </w:p>
              </w:tc>
              <w:tc>
                <w:tcPr>
                  <w:tcW w:type="dxa" w:w="1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批次递增，购样费用相应累加</w:t>
                  </w:r>
                  <w:r>
                    <w:br/>
                  </w:r>
                  <w:r>
                    <w:rPr>
                      <w:rFonts w:ascii="仿宋_GB2312" w:hAnsi="仿宋_GB2312" w:cs="仿宋_GB2312" w:eastAsia="仿宋_GB2312"/>
                      <w:sz w:val="20"/>
                      <w:b/>
                      <w:color w:val="000000"/>
                    </w:rPr>
                    <w:t>（万元）</w:t>
                  </w:r>
                </w:p>
              </w:tc>
              <w:tc>
                <w:tcPr>
                  <w:tcW w:type="dxa" w:w="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总抽检费</w:t>
                  </w:r>
                  <w:r>
                    <w:br/>
                  </w:r>
                  <w:r>
                    <w:rPr>
                      <w:rFonts w:ascii="仿宋_GB2312" w:hAnsi="仿宋_GB2312" w:cs="仿宋_GB2312" w:eastAsia="仿宋_GB2312"/>
                      <w:sz w:val="20"/>
                      <w:b/>
                      <w:color w:val="000000"/>
                    </w:rPr>
                    <w:t>（万元）</w:t>
                  </w:r>
                </w:p>
              </w:tc>
              <w:tc>
                <w:tcPr>
                  <w:tcW w:type="dxa" w:w="15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执行标准及检验项目</w:t>
                  </w:r>
                </w:p>
              </w:tc>
            </w:tr>
            <w:tr>
              <w:tc>
                <w:tcPr>
                  <w:tcW w:type="dxa" w:w="81"/>
                  <w:vMerge/>
                  <w:tcBorders>
                    <w:top w:val="single" w:color="000000" w:sz="4"/>
                    <w:left w:val="single" w:color="000000" w:sz="4"/>
                    <w:bottom w:val="single" w:color="000000" w:sz="4"/>
                    <w:right w:val="single" w:color="000000" w:sz="4"/>
                  </w:tcBorders>
                </w:tcPr>
                <w:p/>
              </w:tc>
              <w:tc>
                <w:tcPr>
                  <w:tcW w:type="dxa" w:w="134"/>
                  <w:vMerge/>
                  <w:tcBorders>
                    <w:top w:val="single" w:color="000000" w:sz="4"/>
                    <w:left w:val="none" w:color="000000" w:sz="4"/>
                    <w:bottom w:val="single" w:color="000000" w:sz="4"/>
                    <w:right w:val="single" w:color="000000" w:sz="4"/>
                  </w:tcBorders>
                </w:tcPr>
                <w:p/>
              </w:tc>
              <w:tc>
                <w:tcPr>
                  <w:tcW w:type="dxa" w:w="148"/>
                  <w:vMerge/>
                  <w:tcBorders>
                    <w:top w:val="single" w:color="000000" w:sz="4"/>
                    <w:left w:val="none" w:color="000000" w:sz="4"/>
                    <w:bottom w:val="single" w:color="000000" w:sz="4"/>
                    <w:right w:val="single" w:color="000000" w:sz="4"/>
                  </w:tcBorders>
                </w:tcPr>
                <w:p/>
              </w:tc>
              <w:tc>
                <w:tcPr>
                  <w:tcW w:type="dxa" w:w="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总批次数</w:t>
                  </w:r>
                </w:p>
              </w:tc>
              <w:tc>
                <w:tcPr>
                  <w:tcW w:type="dxa" w:w="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其中网抽批次数</w:t>
                  </w:r>
                </w:p>
              </w:tc>
              <w:tc>
                <w:tcPr>
                  <w:tcW w:type="dxa" w:w="165"/>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1597"/>
                  <w:vMerge/>
                  <w:tcBorders>
                    <w:top w:val="single" w:color="000000" w:sz="4"/>
                    <w:left w:val="none" w:color="000000" w:sz="4"/>
                    <w:bottom w:val="single" w:color="000000" w:sz="4"/>
                    <w:right w:val="single" w:color="000000" w:sz="4"/>
                  </w:tcBorders>
                </w:tcPr>
                <w:p/>
              </w:tc>
            </w:tr>
            <w:tr>
              <w:tc>
                <w:tcPr>
                  <w:tcW w:type="dxa" w:w="81"/>
                  <w:vMerge/>
                  <w:tcBorders>
                    <w:top w:val="single" w:color="000000" w:sz="4"/>
                    <w:left w:val="single" w:color="000000" w:sz="4"/>
                    <w:bottom w:val="single" w:color="000000" w:sz="4"/>
                    <w:right w:val="single" w:color="000000" w:sz="4"/>
                  </w:tcBorders>
                </w:tcPr>
                <w:p/>
              </w:tc>
              <w:tc>
                <w:tcPr>
                  <w:tcW w:type="dxa" w:w="134"/>
                  <w:vMerge/>
                  <w:tcBorders>
                    <w:top w:val="single" w:color="000000" w:sz="4"/>
                    <w:left w:val="none" w:color="000000" w:sz="4"/>
                    <w:bottom w:val="single" w:color="000000" w:sz="4"/>
                    <w:right w:val="single" w:color="000000" w:sz="4"/>
                  </w:tcBorders>
                </w:tcPr>
                <w:p/>
              </w:tc>
              <w:tc>
                <w:tcPr>
                  <w:tcW w:type="dxa" w:w="148"/>
                  <w:vMerge/>
                  <w:tcBorders>
                    <w:top w:val="single" w:color="000000" w:sz="4"/>
                    <w:left w:val="none" w:color="000000" w:sz="4"/>
                    <w:bottom w:val="single" w:color="000000" w:sz="4"/>
                    <w:right w:val="single" w:color="000000" w:sz="4"/>
                  </w:tcBorders>
                </w:tcPr>
                <w:p/>
              </w:tc>
              <w:tc>
                <w:tcPr>
                  <w:tcW w:type="dxa" w:w="104"/>
                  <w:vMerge/>
                  <w:tcBorders>
                    <w:top w:val="none" w:color="000000" w:sz="4"/>
                    <w:left w:val="none" w:color="000000" w:sz="4"/>
                    <w:bottom w:val="single" w:color="000000" w:sz="4"/>
                    <w:right w:val="single" w:color="000000" w:sz="4"/>
                  </w:tcBorders>
                </w:tcPr>
                <w:p/>
              </w:tc>
              <w:tc>
                <w:tcPr>
                  <w:tcW w:type="dxa" w:w="137"/>
                  <w:vMerge/>
                  <w:tcBorders>
                    <w:top w:val="none" w:color="000000" w:sz="4"/>
                    <w:left w:val="none" w:color="000000" w:sz="4"/>
                    <w:bottom w:val="single" w:color="000000" w:sz="4"/>
                    <w:right w:val="single" w:color="000000" w:sz="4"/>
                  </w:tcBorders>
                </w:tcPr>
                <w:p/>
              </w:tc>
              <w:tc>
                <w:tcPr>
                  <w:tcW w:type="dxa" w:w="165"/>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1597"/>
                  <w:vMerge/>
                  <w:tcBorders>
                    <w:top w:val="single" w:color="000000" w:sz="4"/>
                    <w:left w:val="none" w:color="000000" w:sz="4"/>
                    <w:bottom w:val="single" w:color="000000" w:sz="4"/>
                    <w:right w:val="single" w:color="000000" w:sz="4"/>
                  </w:tcBorders>
                </w:tc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防火门</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30.9476</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12955-2008：耐火性能、加工工艺和外观质量、门扇质量、尺寸公差、灵活性。</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排烟（气）道制品</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0.05</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186"/>
                  <w:vMerge/>
                  <w:tcBorders>
                    <w:top w:val="none" w:color="000000" w:sz="4"/>
                    <w:left w:val="none" w:color="000000" w:sz="4"/>
                    <w:bottom w:val="single" w:color="000000" w:sz="4"/>
                    <w:right w:val="single" w:color="000000" w:sz="4"/>
                  </w:tcBorders>
                </w:tcP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JG/T194-2018：外观质量、尺寸偏差、垂直承载力、软物冲击、耐火性能。</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可燃性气体探测器</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0.01</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0.45</w:t>
                  </w:r>
                </w:p>
              </w:tc>
              <w:tc>
                <w:tcPr>
                  <w:tcW w:type="dxa" w:w="186"/>
                  <w:vMerge/>
                  <w:tcBorders>
                    <w:top w:val="none" w:color="000000" w:sz="4"/>
                    <w:left w:val="none" w:color="000000" w:sz="4"/>
                    <w:bottom w:val="single" w:color="000000" w:sz="4"/>
                    <w:right w:val="single" w:color="000000" w:sz="4"/>
                  </w:tcBorders>
                </w:tcP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15322.2-2019：报警动作值、方位、绝缘电阻、电气强度、高温（运行）试验、跌落试验。</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3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消防应急灯具</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0.01</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w:t>
                  </w:r>
                </w:p>
              </w:tc>
              <w:tc>
                <w:tcPr>
                  <w:tcW w:type="dxa" w:w="186"/>
                  <w:vMerge/>
                  <w:tcBorders>
                    <w:top w:val="none" w:color="000000" w:sz="4"/>
                    <w:left w:val="none" w:color="000000" w:sz="4"/>
                    <w:bottom w:val="single" w:color="000000" w:sz="4"/>
                    <w:right w:val="single" w:color="000000" w:sz="4"/>
                  </w:tcBorders>
                </w:tcP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17945-2024：标志、试验前准备、基本功能试验、充放电试验、重复转换试验、电压波动试验、转换电压试验、绝缘电阻试验、耐压试验。</w:t>
                  </w:r>
                </w:p>
              </w:tc>
            </w:tr>
          </w:tbl>
          <w:p>
            <w:pPr>
              <w:pStyle w:val="null3"/>
            </w:pPr>
            <w:r>
              <w:rPr>
                <w:rFonts w:ascii="仿宋_GB2312" w:hAnsi="仿宋_GB2312" w:cs="仿宋_GB2312" w:eastAsia="仿宋_GB2312"/>
              </w:rPr>
              <w:t>2.</w:t>
            </w:r>
            <w:r>
              <w:rPr>
                <w:rFonts w:ascii="仿宋_GB2312" w:hAnsi="仿宋_GB2312" w:cs="仿宋_GB2312" w:eastAsia="仿宋_GB2312"/>
                <w:sz w:val="21"/>
              </w:rPr>
              <w:t>供应商必须完成额定抽检批次数量。</w:t>
            </w:r>
          </w:p>
          <w:p>
            <w:pPr>
              <w:pStyle w:val="null3"/>
            </w:pPr>
            <w:r>
              <w:rPr>
                <w:rFonts w:ascii="仿宋_GB2312" w:hAnsi="仿宋_GB2312" w:cs="仿宋_GB2312" w:eastAsia="仿宋_GB2312"/>
                <w:sz w:val="21"/>
              </w:rPr>
              <w:t>3.</w:t>
            </w:r>
            <w:r>
              <w:rPr>
                <w:rFonts w:ascii="仿宋_GB2312" w:hAnsi="仿宋_GB2312" w:cs="仿宋_GB2312" w:eastAsia="仿宋_GB2312"/>
              </w:rPr>
              <w:t>根据《产品质量监督抽查管理暂行办法》要求，线下抽检的检验样品应当购买（但以非破坏性试验方式检验且不对样品质量造成实质性影响的除外），备用样品仅封存、不购买；线上抽检的检验样品与备用样品均需购买。</w:t>
            </w:r>
          </w:p>
          <w:p>
            <w:pPr>
              <w:pStyle w:val="null3"/>
              <w:jc w:val="both"/>
            </w:pPr>
            <w:r>
              <w:rPr>
                <w:rFonts w:ascii="仿宋_GB2312" w:hAnsi="仿宋_GB2312" w:cs="仿宋_GB2312" w:eastAsia="仿宋_GB2312"/>
              </w:rPr>
              <w:t>4.购样费指线下抽检的检验样品购买费，以及线上抽检的检验样品和备用样品购买费。</w:t>
            </w:r>
            <w:r>
              <w:br/>
            </w:r>
            <w:r>
              <w:rPr>
                <w:rFonts w:ascii="仿宋_GB2312" w:hAnsi="仿宋_GB2312" w:cs="仿宋_GB2312" w:eastAsia="仿宋_GB2312"/>
              </w:rPr>
              <w:t>抽检等费主要包括：抽样过程中发生的车辆保障费及人员旅差费、食宿费；检验费（含检验过程中发生的相关费用）；相关文件资料（含检验报告等相关资料文书送达）的中国邮政</w:t>
            </w:r>
            <w:r>
              <w:rPr>
                <w:rFonts w:ascii="仿宋_GB2312" w:hAnsi="仿宋_GB2312" w:cs="仿宋_GB2312" w:eastAsia="仿宋_GB2312"/>
              </w:rPr>
              <w:t>EMS邮寄费及相关通讯费用；以及其他与抽检工作相关的费用</w:t>
            </w:r>
            <w:r>
              <w:rPr>
                <w:rFonts w:ascii="仿宋_GB2312" w:hAnsi="仿宋_GB2312" w:cs="仿宋_GB2312" w:eastAsia="仿宋_GB2312"/>
              </w:rPr>
              <w:t>。</w:t>
            </w:r>
          </w:p>
          <w:p>
            <w:pPr>
              <w:pStyle w:val="null3"/>
            </w:pPr>
            <w:r>
              <w:rPr>
                <w:rFonts w:ascii="仿宋_GB2312" w:hAnsi="仿宋_GB2312" w:cs="仿宋_GB2312" w:eastAsia="仿宋_GB2312"/>
                <w:sz w:val="21"/>
              </w:rPr>
              <w:t>5.预算经费由购样费与抽检等其他费用组成。定价招标方式下，在预算经费与购样费平均单价不变的前提下，抽样批次数增加时购样费相应递增，最终按不超过中标批次核算后的购样费进行结算。</w:t>
            </w:r>
            <w:r>
              <w:br/>
            </w:r>
            <w:r>
              <w:rPr>
                <w:rFonts w:ascii="仿宋_GB2312" w:hAnsi="仿宋_GB2312" w:cs="仿宋_GB2312" w:eastAsia="仿宋_GB2312"/>
                <w:sz w:val="21"/>
              </w:rPr>
              <w:t>示例：</w:t>
            </w:r>
            <w:r>
              <w:rPr>
                <w:rFonts w:ascii="仿宋_GB2312" w:hAnsi="仿宋_GB2312" w:cs="仿宋_GB2312" w:eastAsia="仿宋_GB2312"/>
                <w:sz w:val="21"/>
              </w:rPr>
              <w:t>A产品预算经费10万元，其中购样费1万元，购样费平均单价为0.01万元/批次（即100元/批次），对应可抽样100批次。若某承检机构拟报价抽样200批次，则购样费为0.01万元×200批次=2万元，抽检等其他经费则为8万元。</w:t>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标的名称：消防水枪等5种产品质量监督抽查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1.参数 </w:t>
            </w:r>
          </w:p>
          <w:tbl>
            <w:tblPr>
              <w:tblBorders>
                <w:top w:val="none" w:color="000000" w:sz="4"/>
                <w:left w:val="none" w:color="000000" w:sz="4"/>
                <w:bottom w:val="none" w:color="000000" w:sz="4"/>
                <w:right w:val="none" w:color="000000" w:sz="4"/>
                <w:insideH w:val="none"/>
                <w:insideV w:val="none"/>
              </w:tblBorders>
            </w:tblPr>
            <w:tblGrid>
              <w:gridCol w:w="81"/>
              <w:gridCol w:w="125"/>
              <w:gridCol w:w="148"/>
              <w:gridCol w:w="104"/>
              <w:gridCol w:w="138"/>
              <w:gridCol w:w="165"/>
              <w:gridCol w:w="186"/>
              <w:gridCol w:w="1604"/>
            </w:tblGrid>
            <w:tr>
              <w:tc>
                <w:tcPr>
                  <w:tcW w:type="dxa" w:w="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b/>
                      <w:color w:val="000000"/>
                    </w:rPr>
                    <w:t>产品名称</w:t>
                  </w:r>
                </w:p>
              </w:tc>
              <w:tc>
                <w:tcPr>
                  <w:tcW w:type="dxa" w:w="1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购样</w:t>
                  </w:r>
                  <w:r>
                    <w:br/>
                  </w:r>
                  <w:r>
                    <w:rPr>
                      <w:rFonts w:ascii="仿宋_GB2312" w:hAnsi="仿宋_GB2312" w:cs="仿宋_GB2312" w:eastAsia="仿宋_GB2312"/>
                      <w:sz w:val="20"/>
                      <w:b/>
                      <w:color w:val="000000"/>
                    </w:rPr>
                    <w:t>单批次价格</w:t>
                  </w:r>
                  <w:r>
                    <w:br/>
                  </w:r>
                  <w:r>
                    <w:rPr>
                      <w:rFonts w:ascii="仿宋_GB2312" w:hAnsi="仿宋_GB2312" w:cs="仿宋_GB2312" w:eastAsia="仿宋_GB2312"/>
                      <w:sz w:val="20"/>
                      <w:b/>
                      <w:color w:val="000000"/>
                    </w:rPr>
                    <w:t>（万元</w:t>
                  </w:r>
                  <w:r>
                    <w:rPr>
                      <w:rFonts w:ascii="仿宋_GB2312" w:hAnsi="仿宋_GB2312" w:cs="仿宋_GB2312" w:eastAsia="仿宋_GB2312"/>
                      <w:sz w:val="20"/>
                      <w:b/>
                      <w:color w:val="000000"/>
                    </w:rPr>
                    <w:t>/批次）</w:t>
                  </w:r>
                </w:p>
              </w:tc>
              <w:tc>
                <w:tcPr>
                  <w:tcW w:type="dxa" w:w="2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定价招标，增加总批次数</w:t>
                  </w:r>
                </w:p>
              </w:tc>
              <w:tc>
                <w:tcPr>
                  <w:tcW w:type="dxa" w:w="1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批次递增，购样费用相应累加</w:t>
                  </w:r>
                  <w:r>
                    <w:br/>
                  </w:r>
                  <w:r>
                    <w:rPr>
                      <w:rFonts w:ascii="仿宋_GB2312" w:hAnsi="仿宋_GB2312" w:cs="仿宋_GB2312" w:eastAsia="仿宋_GB2312"/>
                      <w:sz w:val="20"/>
                      <w:b/>
                      <w:color w:val="000000"/>
                    </w:rPr>
                    <w:t>（万元）</w:t>
                  </w:r>
                </w:p>
              </w:tc>
              <w:tc>
                <w:tcPr>
                  <w:tcW w:type="dxa" w:w="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总抽检费</w:t>
                  </w:r>
                  <w:r>
                    <w:br/>
                  </w:r>
                  <w:r>
                    <w:rPr>
                      <w:rFonts w:ascii="仿宋_GB2312" w:hAnsi="仿宋_GB2312" w:cs="仿宋_GB2312" w:eastAsia="仿宋_GB2312"/>
                      <w:sz w:val="20"/>
                      <w:b/>
                      <w:color w:val="000000"/>
                    </w:rPr>
                    <w:t>（万元）</w:t>
                  </w:r>
                </w:p>
              </w:tc>
              <w:tc>
                <w:tcPr>
                  <w:tcW w:type="dxa" w:w="16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执行标准及检验项目</w:t>
                  </w:r>
                </w:p>
              </w:tc>
            </w:tr>
            <w:tr>
              <w:tc>
                <w:tcPr>
                  <w:tcW w:type="dxa" w:w="81"/>
                  <w:vMerge/>
                  <w:tcBorders>
                    <w:top w:val="single" w:color="000000" w:sz="4"/>
                    <w:left w:val="single" w:color="000000" w:sz="4"/>
                    <w:bottom w:val="single" w:color="000000" w:sz="4"/>
                    <w:right w:val="single" w:color="000000" w:sz="4"/>
                  </w:tcBorders>
                </w:tcPr>
                <w:p/>
              </w:tc>
              <w:tc>
                <w:tcPr>
                  <w:tcW w:type="dxa" w:w="125"/>
                  <w:vMerge/>
                  <w:tcBorders>
                    <w:top w:val="single" w:color="000000" w:sz="4"/>
                    <w:left w:val="none" w:color="000000" w:sz="4"/>
                    <w:bottom w:val="single" w:color="000000" w:sz="4"/>
                    <w:right w:val="single" w:color="000000" w:sz="4"/>
                  </w:tcBorders>
                </w:tcPr>
                <w:p/>
              </w:tc>
              <w:tc>
                <w:tcPr>
                  <w:tcW w:type="dxa" w:w="148"/>
                  <w:vMerge/>
                  <w:tcBorders>
                    <w:top w:val="single" w:color="000000" w:sz="4"/>
                    <w:left w:val="none" w:color="000000" w:sz="4"/>
                    <w:bottom w:val="single" w:color="000000" w:sz="4"/>
                    <w:right w:val="single" w:color="000000" w:sz="4"/>
                  </w:tcBorders>
                </w:tcPr>
                <w:p/>
              </w:tc>
              <w:tc>
                <w:tcPr>
                  <w:tcW w:type="dxa" w:w="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总批次数</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其中网抽批次数</w:t>
                  </w:r>
                </w:p>
              </w:tc>
              <w:tc>
                <w:tcPr>
                  <w:tcW w:type="dxa" w:w="165"/>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1604"/>
                  <w:vMerge/>
                  <w:tcBorders>
                    <w:top w:val="single" w:color="000000" w:sz="4"/>
                    <w:left w:val="none" w:color="000000" w:sz="4"/>
                    <w:bottom w:val="single" w:color="000000" w:sz="4"/>
                    <w:right w:val="single" w:color="000000" w:sz="4"/>
                  </w:tcBorders>
                </w:tcPr>
                <w:p/>
              </w:tc>
            </w:tr>
            <w:tr>
              <w:tc>
                <w:tcPr>
                  <w:tcW w:type="dxa" w:w="81"/>
                  <w:vMerge/>
                  <w:tcBorders>
                    <w:top w:val="single" w:color="000000" w:sz="4"/>
                    <w:left w:val="single" w:color="000000" w:sz="4"/>
                    <w:bottom w:val="single" w:color="000000" w:sz="4"/>
                    <w:right w:val="single" w:color="000000" w:sz="4"/>
                  </w:tcBorders>
                </w:tcPr>
                <w:p/>
              </w:tc>
              <w:tc>
                <w:tcPr>
                  <w:tcW w:type="dxa" w:w="125"/>
                  <w:vMerge/>
                  <w:tcBorders>
                    <w:top w:val="single" w:color="000000" w:sz="4"/>
                    <w:left w:val="none" w:color="000000" w:sz="4"/>
                    <w:bottom w:val="single" w:color="000000" w:sz="4"/>
                    <w:right w:val="single" w:color="000000" w:sz="4"/>
                  </w:tcBorders>
                </w:tcPr>
                <w:p/>
              </w:tc>
              <w:tc>
                <w:tcPr>
                  <w:tcW w:type="dxa" w:w="148"/>
                  <w:vMerge/>
                  <w:tcBorders>
                    <w:top w:val="single" w:color="000000" w:sz="4"/>
                    <w:left w:val="none" w:color="000000" w:sz="4"/>
                    <w:bottom w:val="single" w:color="000000" w:sz="4"/>
                    <w:right w:val="single" w:color="000000" w:sz="4"/>
                  </w:tcBorders>
                </w:tcPr>
                <w:p/>
              </w:tc>
              <w:tc>
                <w:tcPr>
                  <w:tcW w:type="dxa" w:w="104"/>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c>
                <w:tcPr>
                  <w:tcW w:type="dxa" w:w="165"/>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1604"/>
                  <w:vMerge/>
                  <w:tcBorders>
                    <w:top w:val="single" w:color="000000" w:sz="4"/>
                    <w:left w:val="none" w:color="000000" w:sz="4"/>
                    <w:bottom w:val="single" w:color="000000" w:sz="4"/>
                    <w:right w:val="single" w:color="000000" w:sz="4"/>
                  </w:tcBorders>
                </w:tc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消防水枪</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0.01</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0.3</w:t>
                  </w:r>
                </w:p>
              </w:tc>
              <w:tc>
                <w:tcPr>
                  <w:tcW w:type="dxa" w:w="186"/>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1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8181-2005 《消防水枪》：表面质量、密封性能、耐水压强度、抗跌落性能。</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洒水喷头</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0.005</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w:t>
                  </w:r>
                </w:p>
              </w:tc>
              <w:tc>
                <w:tcPr>
                  <w:tcW w:type="dxa" w:w="186"/>
                  <w:vMerge/>
                  <w:tcBorders>
                    <w:top w:val="none" w:color="000000" w:sz="4"/>
                    <w:left w:val="none" w:color="000000" w:sz="4"/>
                    <w:bottom w:val="none" w:color="000000" w:sz="4"/>
                    <w:right w:val="none" w:color="000000" w:sz="4"/>
                  </w:tcBorders>
                </w:tcPr>
                <w:p/>
              </w:tc>
              <w:tc>
                <w:tcPr>
                  <w:tcW w:type="dxa" w:w="1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5135.1-2019 《自动喷水灭火系统 第1部分：洒水喷头》：外观与标志、水压密封和耐水压强度性能(水压密封、耐水压强度)、耐高温性能。</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消防接口</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0.01</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0.3</w:t>
                  </w:r>
                </w:p>
              </w:tc>
              <w:tc>
                <w:tcPr>
                  <w:tcW w:type="dxa" w:w="186"/>
                  <w:vMerge/>
                  <w:tcBorders>
                    <w:top w:val="none" w:color="000000" w:sz="4"/>
                    <w:left w:val="none" w:color="000000" w:sz="4"/>
                    <w:bottom w:val="none" w:color="000000" w:sz="4"/>
                    <w:right w:val="none" w:color="000000" w:sz="4"/>
                  </w:tcBorders>
                </w:tcPr>
                <w:p/>
              </w:tc>
              <w:tc>
                <w:tcPr>
                  <w:tcW w:type="dxa" w:w="1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12514.1-2005 《消防接口 第1部分：消防接口通用技术条件》：基本尺寸、外观质量、密封性能、水压强度。</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室内消火栓</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0.02</w:t>
                  </w:r>
                </w:p>
              </w:tc>
              <w:tc>
                <w:tcPr>
                  <w:tcW w:type="dxa" w:w="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w:t>
                  </w:r>
                </w:p>
              </w:tc>
              <w:tc>
                <w:tcPr>
                  <w:tcW w:type="dxa" w:w="186"/>
                  <w:vMerge/>
                  <w:tcBorders>
                    <w:top w:val="none" w:color="000000" w:sz="4"/>
                    <w:left w:val="none" w:color="000000" w:sz="4"/>
                    <w:bottom w:val="none" w:color="000000" w:sz="4"/>
                    <w:right w:val="none" w:color="000000" w:sz="4"/>
                  </w:tcBorders>
                </w:tcPr>
                <w:p/>
              </w:tc>
              <w:tc>
                <w:tcPr>
                  <w:tcW w:type="dxa" w:w="1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GB3445-2018 《室内消火栓》：外观质量、基本尺寸与公差、水压强度、密封性能。</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消火栓箱</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w:t>
                  </w:r>
                </w:p>
              </w:tc>
              <w:tc>
                <w:tcPr>
                  <w:tcW w:type="dxa" w:w="186"/>
                  <w:vMerge/>
                  <w:tcBorders>
                    <w:top w:val="none" w:color="000000" w:sz="4"/>
                    <w:left w:val="none" w:color="000000" w:sz="4"/>
                    <w:bottom w:val="none" w:color="000000" w:sz="4"/>
                    <w:right w:val="none" w:color="000000" w:sz="4"/>
                  </w:tcBorders>
                </w:tcPr>
                <w:p/>
              </w:tc>
              <w:tc>
                <w:tcPr>
                  <w:tcW w:type="dxa" w:w="1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GB/T 14561-2019 《消火栓箱》：外观质量、外形尺寸和极限偏差、材料、箱体刚度、箱门。</w:t>
                  </w:r>
                </w:p>
              </w:tc>
            </w:tr>
          </w:tbl>
          <w:p>
            <w:pPr>
              <w:pStyle w:val="null3"/>
            </w:pPr>
            <w:r>
              <w:rPr>
                <w:rFonts w:ascii="仿宋_GB2312" w:hAnsi="仿宋_GB2312" w:cs="仿宋_GB2312" w:eastAsia="仿宋_GB2312"/>
              </w:rPr>
              <w:t>2.</w:t>
            </w:r>
            <w:r>
              <w:rPr>
                <w:rFonts w:ascii="仿宋_GB2312" w:hAnsi="仿宋_GB2312" w:cs="仿宋_GB2312" w:eastAsia="仿宋_GB2312"/>
                <w:sz w:val="21"/>
              </w:rPr>
              <w:t>供应商必须完成额定抽检批次数量。</w:t>
            </w:r>
          </w:p>
          <w:p>
            <w:pPr>
              <w:pStyle w:val="null3"/>
            </w:pPr>
            <w:r>
              <w:rPr>
                <w:rFonts w:ascii="仿宋_GB2312" w:hAnsi="仿宋_GB2312" w:cs="仿宋_GB2312" w:eastAsia="仿宋_GB2312"/>
                <w:sz w:val="21"/>
              </w:rPr>
              <w:t>3.</w:t>
            </w:r>
            <w:r>
              <w:rPr>
                <w:rFonts w:ascii="仿宋_GB2312" w:hAnsi="仿宋_GB2312" w:cs="仿宋_GB2312" w:eastAsia="仿宋_GB2312"/>
              </w:rPr>
              <w:t xml:space="preserve"> 根据《产品质量监督抽查管理暂行办法》要求，线下抽检的检验样品应当购买（但以非破坏性试验方式检验且不对样品质量造成实质性影响的除外），备用样品仅封存、不购买；线上抽检的检验样品与备用样品均需购买。</w:t>
            </w:r>
            <w:r>
              <w:br/>
            </w:r>
            <w:r>
              <w:rPr>
                <w:rFonts w:ascii="仿宋_GB2312" w:hAnsi="仿宋_GB2312" w:cs="仿宋_GB2312" w:eastAsia="仿宋_GB2312"/>
              </w:rPr>
              <w:t xml:space="preserve"> 4.购样费指线下抽检的检验样品购买费，以及线上抽检的检验样品和备用样品购买费。</w:t>
            </w:r>
            <w:r>
              <w:br/>
            </w:r>
            <w:r>
              <w:rPr>
                <w:rFonts w:ascii="仿宋_GB2312" w:hAnsi="仿宋_GB2312" w:cs="仿宋_GB2312" w:eastAsia="仿宋_GB2312"/>
              </w:rPr>
              <w:t xml:space="preserve"> 抽检等费主要包括：抽样过程中发生的车辆保障费及人员旅差费、食宿费；检验费（含检验过程中发生的相关费用）；相关文件资料（含检验报告等相关资料文书送达）的中国邮政EMS邮寄费及相关通讯费用；以及其他与抽检工作相关的费用。</w:t>
            </w:r>
            <w:r>
              <w:br/>
            </w:r>
            <w:r>
              <w:rPr>
                <w:rFonts w:ascii="仿宋_GB2312" w:hAnsi="仿宋_GB2312" w:cs="仿宋_GB2312" w:eastAsia="仿宋_GB2312"/>
              </w:rPr>
              <w:t xml:space="preserve"> 5.预算经费由购样费与抽检等其他费用组成。定价招标方式下，在预算经费与购样费平均单价不变的前提下，抽样批次数增加时购样费相应递增，最终按不超过中标批次核算后的购样费进行结算。</w:t>
            </w:r>
            <w:r>
              <w:br/>
            </w:r>
            <w:r>
              <w:rPr>
                <w:rFonts w:ascii="仿宋_GB2312" w:hAnsi="仿宋_GB2312" w:cs="仿宋_GB2312" w:eastAsia="仿宋_GB2312"/>
              </w:rPr>
              <w:t xml:space="preserve"> 示例：A产品预算经费10万元，其中购样费1万元，购样费平均单价为0.01万元/批次（即100元/批次），对应可抽样100批次。若某承检机构拟报价抽样200批次，则购样费为0.01万元×200批次=2万元，抽检等其他经费则为8万元。</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标的名称：独立式感烟火灾探测报警器等4种产品质量监督抽查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1.参数</w:t>
            </w:r>
          </w:p>
          <w:tbl>
            <w:tblPr>
              <w:tblBorders>
                <w:top w:val="none" w:color="000000" w:sz="4"/>
                <w:left w:val="none" w:color="000000" w:sz="4"/>
                <w:bottom w:val="none" w:color="000000" w:sz="4"/>
                <w:right w:val="none" w:color="000000" w:sz="4"/>
                <w:insideH w:val="none"/>
                <w:insideV w:val="none"/>
              </w:tblBorders>
            </w:tblPr>
            <w:tblGrid>
              <w:gridCol w:w="81"/>
              <w:gridCol w:w="125"/>
              <w:gridCol w:w="148"/>
              <w:gridCol w:w="104"/>
              <w:gridCol w:w="138"/>
              <w:gridCol w:w="165"/>
              <w:gridCol w:w="186"/>
              <w:gridCol w:w="1604"/>
            </w:tblGrid>
            <w:tr>
              <w:tc>
                <w:tcPr>
                  <w:tcW w:type="dxa" w:w="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b/>
                      <w:color w:val="000000"/>
                    </w:rPr>
                    <w:t>产品名称</w:t>
                  </w:r>
                </w:p>
              </w:tc>
              <w:tc>
                <w:tcPr>
                  <w:tcW w:type="dxa" w:w="1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购样</w:t>
                  </w:r>
                  <w:r>
                    <w:br/>
                  </w:r>
                  <w:r>
                    <w:rPr>
                      <w:rFonts w:ascii="仿宋_GB2312" w:hAnsi="仿宋_GB2312" w:cs="仿宋_GB2312" w:eastAsia="仿宋_GB2312"/>
                      <w:sz w:val="20"/>
                      <w:b/>
                      <w:color w:val="000000"/>
                    </w:rPr>
                    <w:t>单批次价格</w:t>
                  </w:r>
                  <w:r>
                    <w:br/>
                  </w:r>
                  <w:r>
                    <w:rPr>
                      <w:rFonts w:ascii="仿宋_GB2312" w:hAnsi="仿宋_GB2312" w:cs="仿宋_GB2312" w:eastAsia="仿宋_GB2312"/>
                      <w:sz w:val="20"/>
                      <w:b/>
                      <w:color w:val="000000"/>
                    </w:rPr>
                    <w:t>（万元</w:t>
                  </w:r>
                  <w:r>
                    <w:rPr>
                      <w:rFonts w:ascii="仿宋_GB2312" w:hAnsi="仿宋_GB2312" w:cs="仿宋_GB2312" w:eastAsia="仿宋_GB2312"/>
                      <w:sz w:val="20"/>
                      <w:b/>
                      <w:color w:val="000000"/>
                    </w:rPr>
                    <w:t>/批次）</w:t>
                  </w:r>
                </w:p>
              </w:tc>
              <w:tc>
                <w:tcPr>
                  <w:tcW w:type="dxa" w:w="2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定价招标，增加总批次数</w:t>
                  </w:r>
                </w:p>
              </w:tc>
              <w:tc>
                <w:tcPr>
                  <w:tcW w:type="dxa" w:w="1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批次递增，购样费用相应累加</w:t>
                  </w:r>
                  <w:r>
                    <w:br/>
                  </w:r>
                  <w:r>
                    <w:rPr>
                      <w:rFonts w:ascii="仿宋_GB2312" w:hAnsi="仿宋_GB2312" w:cs="仿宋_GB2312" w:eastAsia="仿宋_GB2312"/>
                      <w:sz w:val="20"/>
                      <w:b/>
                      <w:color w:val="000000"/>
                    </w:rPr>
                    <w:t>（万元）</w:t>
                  </w:r>
                </w:p>
              </w:tc>
              <w:tc>
                <w:tcPr>
                  <w:tcW w:type="dxa" w:w="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总抽检费</w:t>
                  </w:r>
                  <w:r>
                    <w:br/>
                  </w:r>
                  <w:r>
                    <w:rPr>
                      <w:rFonts w:ascii="仿宋_GB2312" w:hAnsi="仿宋_GB2312" w:cs="仿宋_GB2312" w:eastAsia="仿宋_GB2312"/>
                      <w:sz w:val="20"/>
                      <w:b/>
                      <w:color w:val="000000"/>
                    </w:rPr>
                    <w:t>（万元）</w:t>
                  </w:r>
                </w:p>
              </w:tc>
              <w:tc>
                <w:tcPr>
                  <w:tcW w:type="dxa" w:w="16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执行标准及检验项目</w:t>
                  </w:r>
                </w:p>
              </w:tc>
            </w:tr>
            <w:tr>
              <w:tc>
                <w:tcPr>
                  <w:tcW w:type="dxa" w:w="81"/>
                  <w:vMerge/>
                  <w:tcBorders>
                    <w:top w:val="single" w:color="000000" w:sz="4"/>
                    <w:left w:val="single" w:color="000000" w:sz="4"/>
                    <w:bottom w:val="single" w:color="000000" w:sz="4"/>
                    <w:right w:val="single" w:color="000000" w:sz="4"/>
                  </w:tcBorders>
                </w:tcPr>
                <w:p/>
              </w:tc>
              <w:tc>
                <w:tcPr>
                  <w:tcW w:type="dxa" w:w="125"/>
                  <w:vMerge/>
                  <w:tcBorders>
                    <w:top w:val="single" w:color="000000" w:sz="4"/>
                    <w:left w:val="none" w:color="000000" w:sz="4"/>
                    <w:bottom w:val="single" w:color="000000" w:sz="4"/>
                    <w:right w:val="single" w:color="000000" w:sz="4"/>
                  </w:tcBorders>
                </w:tcPr>
                <w:p/>
              </w:tc>
              <w:tc>
                <w:tcPr>
                  <w:tcW w:type="dxa" w:w="148"/>
                  <w:vMerge/>
                  <w:tcBorders>
                    <w:top w:val="single" w:color="000000" w:sz="4"/>
                    <w:left w:val="none" w:color="000000" w:sz="4"/>
                    <w:bottom w:val="single" w:color="000000" w:sz="4"/>
                    <w:right w:val="single" w:color="000000" w:sz="4"/>
                  </w:tcBorders>
                </w:tcPr>
                <w:p/>
              </w:tc>
              <w:tc>
                <w:tcPr>
                  <w:tcW w:type="dxa" w:w="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总批次数</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其中网抽批次数</w:t>
                  </w:r>
                </w:p>
              </w:tc>
              <w:tc>
                <w:tcPr>
                  <w:tcW w:type="dxa" w:w="165"/>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1604"/>
                  <w:vMerge/>
                  <w:tcBorders>
                    <w:top w:val="single" w:color="000000" w:sz="4"/>
                    <w:left w:val="none" w:color="000000" w:sz="4"/>
                    <w:bottom w:val="single" w:color="000000" w:sz="4"/>
                    <w:right w:val="single" w:color="000000" w:sz="4"/>
                  </w:tcBorders>
                </w:tcPr>
                <w:p/>
              </w:tc>
            </w:tr>
            <w:tr>
              <w:tc>
                <w:tcPr>
                  <w:tcW w:type="dxa" w:w="81"/>
                  <w:vMerge/>
                  <w:tcBorders>
                    <w:top w:val="single" w:color="000000" w:sz="4"/>
                    <w:left w:val="single" w:color="000000" w:sz="4"/>
                    <w:bottom w:val="single" w:color="000000" w:sz="4"/>
                    <w:right w:val="single" w:color="000000" w:sz="4"/>
                  </w:tcBorders>
                </w:tcPr>
                <w:p/>
              </w:tc>
              <w:tc>
                <w:tcPr>
                  <w:tcW w:type="dxa" w:w="125"/>
                  <w:vMerge/>
                  <w:tcBorders>
                    <w:top w:val="single" w:color="000000" w:sz="4"/>
                    <w:left w:val="none" w:color="000000" w:sz="4"/>
                    <w:bottom w:val="single" w:color="000000" w:sz="4"/>
                    <w:right w:val="single" w:color="000000" w:sz="4"/>
                  </w:tcBorders>
                </w:tcPr>
                <w:p/>
              </w:tc>
              <w:tc>
                <w:tcPr>
                  <w:tcW w:type="dxa" w:w="148"/>
                  <w:vMerge/>
                  <w:tcBorders>
                    <w:top w:val="single" w:color="000000" w:sz="4"/>
                    <w:left w:val="none" w:color="000000" w:sz="4"/>
                    <w:bottom w:val="single" w:color="000000" w:sz="4"/>
                    <w:right w:val="single" w:color="000000" w:sz="4"/>
                  </w:tcBorders>
                </w:tcPr>
                <w:p/>
              </w:tc>
              <w:tc>
                <w:tcPr>
                  <w:tcW w:type="dxa" w:w="104"/>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c>
                <w:tcPr>
                  <w:tcW w:type="dxa" w:w="165"/>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1604"/>
                  <w:vMerge/>
                  <w:tcBorders>
                    <w:top w:val="single" w:color="000000" w:sz="4"/>
                    <w:left w:val="none" w:color="000000" w:sz="4"/>
                    <w:bottom w:val="single" w:color="000000" w:sz="4"/>
                    <w:right w:val="single" w:color="000000" w:sz="4"/>
                  </w:tcBorders>
                </w:tc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独立式感烟火灾探测报警器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0.05</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2.25</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20517</w:t>
                  </w:r>
                  <w:r>
                    <w:rPr>
                      <w:rFonts w:ascii="仿宋_GB2312" w:hAnsi="仿宋_GB2312" w:cs="仿宋_GB2312" w:eastAsia="仿宋_GB2312"/>
                      <w:sz w:val="18"/>
                      <w:color w:val="000000"/>
                    </w:rPr>
                    <w:t>—</w:t>
                  </w:r>
                  <w:r>
                    <w:rPr>
                      <w:rFonts w:ascii="仿宋_GB2312" w:hAnsi="仿宋_GB2312" w:cs="仿宋_GB2312" w:eastAsia="仿宋_GB2312"/>
                      <w:sz w:val="18"/>
                      <w:color w:val="000000"/>
                    </w:rPr>
                    <w:t>2006 独立式感烟火灾探测报警器：声压试验、重复性试验、方位试验、气流试验、低温试验。</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防火玻璃</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0.08</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86"/>
                  <w:vMerge/>
                  <w:tcBorders>
                    <w:top w:val="none" w:color="000000" w:sz="4"/>
                    <w:left w:val="none" w:color="000000" w:sz="4"/>
                    <w:bottom w:val="single" w:color="000000" w:sz="4"/>
                    <w:right w:val="single" w:color="000000" w:sz="4"/>
                  </w:tcBorders>
                </w:tcP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15763.1</w:t>
                  </w:r>
                  <w:r>
                    <w:rPr>
                      <w:rFonts w:ascii="仿宋_GB2312" w:hAnsi="仿宋_GB2312" w:cs="仿宋_GB2312" w:eastAsia="仿宋_GB2312"/>
                      <w:sz w:val="18"/>
                      <w:color w:val="000000"/>
                    </w:rPr>
                    <w:t>—</w:t>
                  </w:r>
                  <w:r>
                    <w:rPr>
                      <w:rFonts w:ascii="仿宋_GB2312" w:hAnsi="仿宋_GB2312" w:cs="仿宋_GB2312" w:eastAsia="仿宋_GB2312"/>
                      <w:sz w:val="18"/>
                      <w:color w:val="000000"/>
                    </w:rPr>
                    <w:t>2009 建筑用安全玻璃  第1部分：防火玻璃：耐火性能。</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电动工具</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86"/>
                  <w:vMerge/>
                  <w:tcBorders>
                    <w:top w:val="none" w:color="000000" w:sz="4"/>
                    <w:left w:val="none" w:color="000000" w:sz="4"/>
                    <w:bottom w:val="single" w:color="000000" w:sz="4"/>
                    <w:right w:val="single" w:color="000000" w:sz="4"/>
                  </w:tcBorders>
                </w:tcP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3883.1</w:t>
                  </w:r>
                  <w:r>
                    <w:rPr>
                      <w:rFonts w:ascii="仿宋_GB2312" w:hAnsi="仿宋_GB2312" w:cs="仿宋_GB2312" w:eastAsia="仿宋_GB2312"/>
                      <w:sz w:val="18"/>
                      <w:color w:val="000000"/>
                    </w:rPr>
                    <w:t>—</w:t>
                  </w:r>
                  <w:r>
                    <w:rPr>
                      <w:rFonts w:ascii="仿宋_GB2312" w:hAnsi="仿宋_GB2312" w:cs="仿宋_GB2312" w:eastAsia="仿宋_GB2312"/>
                      <w:sz w:val="18"/>
                      <w:color w:val="000000"/>
                    </w:rPr>
                    <w:t>2008 手持式电动工具的安全  第一部分：通用要求；GB 4343.1</w:t>
                  </w:r>
                  <w:r>
                    <w:rPr>
                      <w:rFonts w:ascii="仿宋_GB2312" w:hAnsi="仿宋_GB2312" w:cs="仿宋_GB2312" w:eastAsia="仿宋_GB2312"/>
                      <w:sz w:val="18"/>
                      <w:color w:val="000000"/>
                    </w:rPr>
                    <w:t>—</w:t>
                  </w:r>
                  <w:r>
                    <w:rPr>
                      <w:rFonts w:ascii="仿宋_GB2312" w:hAnsi="仿宋_GB2312" w:cs="仿宋_GB2312" w:eastAsia="仿宋_GB2312"/>
                      <w:sz w:val="18"/>
                      <w:color w:val="000000"/>
                    </w:rPr>
                    <w:t>2018 家用电器、电动工具和类似器具的电磁兼容要求  第1部分：发射；GB/T 3883.1</w:t>
                  </w:r>
                  <w:r>
                    <w:rPr>
                      <w:rFonts w:ascii="仿宋_GB2312" w:hAnsi="仿宋_GB2312" w:cs="仿宋_GB2312" w:eastAsia="仿宋_GB2312"/>
                      <w:sz w:val="18"/>
                      <w:color w:val="000000"/>
                    </w:rPr>
                    <w:t>—</w:t>
                  </w:r>
                  <w:r>
                    <w:rPr>
                      <w:rFonts w:ascii="仿宋_GB2312" w:hAnsi="仿宋_GB2312" w:cs="仿宋_GB2312" w:eastAsia="仿宋_GB2312"/>
                      <w:sz w:val="18"/>
                      <w:color w:val="000000"/>
                    </w:rPr>
                    <w:t>2014 手持式、可移式电动工具和园林工具的安全  第1部分：通用要求；GB/T 3883.201</w:t>
                  </w:r>
                  <w:r>
                    <w:rPr>
                      <w:rFonts w:ascii="仿宋_GB2312" w:hAnsi="仿宋_GB2312" w:cs="仿宋_GB2312" w:eastAsia="仿宋_GB2312"/>
                      <w:sz w:val="18"/>
                      <w:color w:val="000000"/>
                    </w:rPr>
                    <w:t>—</w:t>
                  </w:r>
                  <w:r>
                    <w:rPr>
                      <w:rFonts w:ascii="仿宋_GB2312" w:hAnsi="仿宋_GB2312" w:cs="仿宋_GB2312" w:eastAsia="仿宋_GB2312"/>
                      <w:sz w:val="18"/>
                      <w:color w:val="000000"/>
                    </w:rPr>
                    <w:t>2017 手持式、可移式电动工具和园林工具的安全  第2部分：电钻和冲击电钻的专用要求（含第1号修改单）；GB/T 3883.7</w:t>
                  </w:r>
                  <w:r>
                    <w:rPr>
                      <w:rFonts w:ascii="仿宋_GB2312" w:hAnsi="仿宋_GB2312" w:cs="仿宋_GB2312" w:eastAsia="仿宋_GB2312"/>
                      <w:sz w:val="18"/>
                      <w:color w:val="000000"/>
                    </w:rPr>
                    <w:t>—</w:t>
                  </w:r>
                  <w:r>
                    <w:rPr>
                      <w:rFonts w:ascii="仿宋_GB2312" w:hAnsi="仿宋_GB2312" w:cs="仿宋_GB2312" w:eastAsia="仿宋_GB2312"/>
                      <w:sz w:val="18"/>
                      <w:color w:val="000000"/>
                    </w:rPr>
                    <w:t>2012 手持式电动工具的安全  第2部分：锤类工具的专用要求电钻：防止触及带电零件的保护、发热、泄漏电流、机械危险、机械强度、结构、内部布线、电源联接和外接软线、接地装置、爬电距离、电气间隙和绝缘穿通距离、电锤：防止触及带电零件的保护、发热、泄漏电流机械危险、机械强度、结构、内部布线、电源联接和外接软线、接地装置、爬电距离、电气间隙和绝缘穿通距离。</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钢丝绳</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0.07</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3.15</w:t>
                  </w:r>
                </w:p>
              </w:tc>
              <w:tc>
                <w:tcPr>
                  <w:tcW w:type="dxa" w:w="186"/>
                  <w:vMerge/>
                  <w:tcBorders>
                    <w:top w:val="none" w:color="000000" w:sz="4"/>
                    <w:left w:val="none" w:color="000000" w:sz="4"/>
                    <w:bottom w:val="single" w:color="000000" w:sz="4"/>
                    <w:right w:val="single" w:color="000000" w:sz="4"/>
                  </w:tcBorders>
                </w:tcP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18"/>
                      <w:color w:val="000000"/>
                    </w:rPr>
                    <w:t>GB/T 8918</w:t>
                  </w:r>
                  <w:r>
                    <w:rPr>
                      <w:rFonts w:ascii="仿宋_GB2312" w:hAnsi="仿宋_GB2312" w:cs="仿宋_GB2312" w:eastAsia="仿宋_GB2312"/>
                      <w:sz w:val="18"/>
                      <w:color w:val="000000"/>
                    </w:rPr>
                    <w:t>—</w:t>
                  </w:r>
                  <w:r>
                    <w:rPr>
                      <w:rFonts w:ascii="仿宋_GB2312" w:hAnsi="仿宋_GB2312" w:cs="仿宋_GB2312" w:eastAsia="仿宋_GB2312"/>
                      <w:sz w:val="18"/>
                      <w:color w:val="000000"/>
                    </w:rPr>
                    <w:t>2006 重要用途钢丝绳；GB/T 9944</w:t>
                  </w:r>
                  <w:r>
                    <w:rPr>
                      <w:rFonts w:ascii="仿宋_GB2312" w:hAnsi="仿宋_GB2312" w:cs="仿宋_GB2312" w:eastAsia="仿宋_GB2312"/>
                      <w:sz w:val="18"/>
                      <w:color w:val="000000"/>
                    </w:rPr>
                    <w:t>—</w:t>
                  </w:r>
                  <w:r>
                    <w:rPr>
                      <w:rFonts w:ascii="仿宋_GB2312" w:hAnsi="仿宋_GB2312" w:cs="仿宋_GB2312" w:eastAsia="仿宋_GB2312"/>
                      <w:sz w:val="18"/>
                      <w:color w:val="000000"/>
                    </w:rPr>
                    <w:t>2015 不锈钢丝绳；GB/T 14451</w:t>
                  </w:r>
                  <w:r>
                    <w:rPr>
                      <w:rFonts w:ascii="仿宋_GB2312" w:hAnsi="仿宋_GB2312" w:cs="仿宋_GB2312" w:eastAsia="仿宋_GB2312"/>
                      <w:sz w:val="18"/>
                      <w:color w:val="000000"/>
                    </w:rPr>
                    <w:t>—</w:t>
                  </w:r>
                  <w:r>
                    <w:rPr>
                      <w:rFonts w:ascii="仿宋_GB2312" w:hAnsi="仿宋_GB2312" w:cs="仿宋_GB2312" w:eastAsia="仿宋_GB2312"/>
                      <w:sz w:val="18"/>
                      <w:color w:val="000000"/>
                    </w:rPr>
                    <w:t>2008 操纵用钢丝绳；GB/T 20118</w:t>
                  </w:r>
                  <w:r>
                    <w:rPr>
                      <w:rFonts w:ascii="仿宋_GB2312" w:hAnsi="仿宋_GB2312" w:cs="仿宋_GB2312" w:eastAsia="仿宋_GB2312"/>
                      <w:sz w:val="18"/>
                      <w:color w:val="000000"/>
                    </w:rPr>
                    <w:t>—</w:t>
                  </w:r>
                  <w:r>
                    <w:rPr>
                      <w:rFonts w:ascii="仿宋_GB2312" w:hAnsi="仿宋_GB2312" w:cs="仿宋_GB2312" w:eastAsia="仿宋_GB2312"/>
                      <w:sz w:val="18"/>
                      <w:color w:val="000000"/>
                    </w:rPr>
                    <w:t>2017 钢丝绳通用技术条件重要用途钢丝绳：直径、拆股钢丝实测直径、股的中心钢丝直径、拆股钢丝抗拉强度、拆股钢丝反复弯曲、拆股钢丝锌层重量、钢丝绳外观检查</w:t>
                  </w:r>
                  <w:r>
                    <w:br/>
                  </w:r>
                  <w:r>
                    <w:rPr>
                      <w:rFonts w:ascii="仿宋_GB2312" w:hAnsi="仿宋_GB2312" w:cs="仿宋_GB2312" w:eastAsia="仿宋_GB2312"/>
                      <w:sz w:val="18"/>
                      <w:color w:val="000000"/>
                    </w:rPr>
                    <w:t>钢丝绳（通用）：破断拉力、直径允许偏差、拆股钢丝实测直径、股的中心钢丝直径、拆股钢丝抗拉强度、拆股钢丝反复弯曲、拆股钢丝镀层重量、钢丝绳表面质量的检查</w:t>
                  </w:r>
                  <w:r>
                    <w:br/>
                  </w:r>
                  <w:r>
                    <w:rPr>
                      <w:rFonts w:ascii="仿宋_GB2312" w:hAnsi="仿宋_GB2312" w:cs="仿宋_GB2312" w:eastAsia="仿宋_GB2312"/>
                      <w:sz w:val="18"/>
                      <w:color w:val="000000"/>
                    </w:rPr>
                    <w:t>不锈钢丝绳：直径允许偏差、不圆度、钢丝绳表面质量</w:t>
                  </w:r>
                  <w:r>
                    <w:br/>
                  </w:r>
                  <w:r>
                    <w:rPr>
                      <w:rFonts w:ascii="仿宋_GB2312" w:hAnsi="仿宋_GB2312" w:cs="仿宋_GB2312" w:eastAsia="仿宋_GB2312"/>
                      <w:sz w:val="18"/>
                      <w:color w:val="000000"/>
                    </w:rPr>
                    <w:t>操纵用钢丝绳：直径、钢丝绳中性盐雾试验、拆股钢丝直径、拆股钢丝抗拉强度、拆股钢丝反复弯曲、拆股钢丝锌层重量、钢丝绳外观质量。</w:t>
                  </w:r>
                </w:p>
              </w:tc>
            </w:tr>
          </w:tbl>
          <w:p>
            <w:pPr>
              <w:pStyle w:val="null3"/>
            </w:pPr>
            <w:r>
              <w:rPr>
                <w:rFonts w:ascii="仿宋_GB2312" w:hAnsi="仿宋_GB2312" w:cs="仿宋_GB2312" w:eastAsia="仿宋_GB2312"/>
              </w:rPr>
              <w:t>2.</w:t>
            </w:r>
            <w:r>
              <w:rPr>
                <w:rFonts w:ascii="仿宋_GB2312" w:hAnsi="仿宋_GB2312" w:cs="仿宋_GB2312" w:eastAsia="仿宋_GB2312"/>
                <w:sz w:val="21"/>
              </w:rPr>
              <w:t>供应商必须完成额定抽检批次数量。</w:t>
            </w:r>
          </w:p>
          <w:p>
            <w:pPr>
              <w:pStyle w:val="null3"/>
            </w:pPr>
            <w:r>
              <w:rPr>
                <w:rFonts w:ascii="仿宋_GB2312" w:hAnsi="仿宋_GB2312" w:cs="仿宋_GB2312" w:eastAsia="仿宋_GB2312"/>
                <w:sz w:val="21"/>
              </w:rPr>
              <w:t>3.</w:t>
            </w:r>
            <w:r>
              <w:rPr>
                <w:rFonts w:ascii="仿宋_GB2312" w:hAnsi="仿宋_GB2312" w:cs="仿宋_GB2312" w:eastAsia="仿宋_GB2312"/>
              </w:rPr>
              <w:t>根据《产品质量监督抽查管理暂行办法》要求，线下抽检的检验样品应当购买（但以非破坏性试验方式检验且不对样品质量造成实质性影响的除外），备用样品仅封存、不购买；线上抽检的检验样品与备用样品均需购买。</w:t>
            </w:r>
          </w:p>
          <w:p>
            <w:pPr>
              <w:pStyle w:val="null3"/>
              <w:jc w:val="both"/>
            </w:pPr>
            <w:r>
              <w:rPr>
                <w:rFonts w:ascii="仿宋_GB2312" w:hAnsi="仿宋_GB2312" w:cs="仿宋_GB2312" w:eastAsia="仿宋_GB2312"/>
              </w:rPr>
              <w:t>4.购样费指线下抽检的检验样品购买费，以及线上抽检的检验样品和备用样品购买费。</w:t>
            </w:r>
            <w:r>
              <w:br/>
            </w:r>
            <w:r>
              <w:rPr>
                <w:rFonts w:ascii="仿宋_GB2312" w:hAnsi="仿宋_GB2312" w:cs="仿宋_GB2312" w:eastAsia="仿宋_GB2312"/>
              </w:rPr>
              <w:t>抽检等费主要包括：抽样过程中发生的车辆保障费及人员旅差费、食宿费；检验费（含检验过程中发生的相关费用）；相关文件资料（含检验报告等相关资料文书送达）的中国邮政</w:t>
            </w:r>
            <w:r>
              <w:rPr>
                <w:rFonts w:ascii="仿宋_GB2312" w:hAnsi="仿宋_GB2312" w:cs="仿宋_GB2312" w:eastAsia="仿宋_GB2312"/>
              </w:rPr>
              <w:t>EMS邮寄费及相关通讯费用；以及其他与抽检工作相关的费用</w:t>
            </w:r>
            <w:r>
              <w:rPr>
                <w:rFonts w:ascii="仿宋_GB2312" w:hAnsi="仿宋_GB2312" w:cs="仿宋_GB2312" w:eastAsia="仿宋_GB2312"/>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预算经费由购样费与抽检等其他费用组成。定价招标方式下，在预算经费与购样费平均单价不变的前提下，抽样批次数增加时购样费相应递增，最终按不超过中标批次核算后的购样费进行结算。</w:t>
            </w:r>
            <w:r>
              <w:br/>
            </w:r>
            <w:r>
              <w:rPr>
                <w:rFonts w:ascii="仿宋_GB2312" w:hAnsi="仿宋_GB2312" w:cs="仿宋_GB2312" w:eastAsia="仿宋_GB2312"/>
                <w:sz w:val="21"/>
              </w:rPr>
              <w:t>示例：</w:t>
            </w:r>
            <w:r>
              <w:rPr>
                <w:rFonts w:ascii="仿宋_GB2312" w:hAnsi="仿宋_GB2312" w:cs="仿宋_GB2312" w:eastAsia="仿宋_GB2312"/>
                <w:sz w:val="21"/>
              </w:rPr>
              <w:t>A产品预算经费10万元，其中购样费1万元，购样费平均单价为0.01万元/批次（即100元/批次），对应可抽样100批次。若某承检机构拟报价抽样200批次，则购样费为0.01万元×200批次=2万元，抽检等其他经费则为8万元。</w:t>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标的名称：手提式干粉灭火器等4种产品质量监督抽查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1.参数 </w:t>
            </w:r>
          </w:p>
          <w:tbl>
            <w:tblPr>
              <w:tblBorders>
                <w:top w:val="none" w:color="000000" w:sz="4"/>
                <w:left w:val="none" w:color="000000" w:sz="4"/>
                <w:bottom w:val="none" w:color="000000" w:sz="4"/>
                <w:right w:val="none" w:color="000000" w:sz="4"/>
                <w:insideH w:val="none"/>
                <w:insideV w:val="none"/>
              </w:tblBorders>
            </w:tblPr>
            <w:tblGrid>
              <w:gridCol w:w="81"/>
              <w:gridCol w:w="125"/>
              <w:gridCol w:w="148"/>
              <w:gridCol w:w="104"/>
              <w:gridCol w:w="138"/>
              <w:gridCol w:w="165"/>
              <w:gridCol w:w="186"/>
              <w:gridCol w:w="1604"/>
            </w:tblGrid>
            <w:tr>
              <w:tc>
                <w:tcPr>
                  <w:tcW w:type="dxa" w:w="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b/>
                      <w:color w:val="000000"/>
                    </w:rPr>
                    <w:t>产品名称</w:t>
                  </w:r>
                </w:p>
              </w:tc>
              <w:tc>
                <w:tcPr>
                  <w:tcW w:type="dxa" w:w="1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购样</w:t>
                  </w:r>
                  <w:r>
                    <w:br/>
                  </w:r>
                  <w:r>
                    <w:rPr>
                      <w:rFonts w:ascii="仿宋_GB2312" w:hAnsi="仿宋_GB2312" w:cs="仿宋_GB2312" w:eastAsia="仿宋_GB2312"/>
                      <w:sz w:val="20"/>
                      <w:b/>
                      <w:color w:val="000000"/>
                    </w:rPr>
                    <w:t>单批次价格</w:t>
                  </w:r>
                  <w:r>
                    <w:br/>
                  </w:r>
                  <w:r>
                    <w:rPr>
                      <w:rFonts w:ascii="仿宋_GB2312" w:hAnsi="仿宋_GB2312" w:cs="仿宋_GB2312" w:eastAsia="仿宋_GB2312"/>
                      <w:sz w:val="20"/>
                      <w:b/>
                      <w:color w:val="000000"/>
                    </w:rPr>
                    <w:t>（万元</w:t>
                  </w:r>
                  <w:r>
                    <w:rPr>
                      <w:rFonts w:ascii="仿宋_GB2312" w:hAnsi="仿宋_GB2312" w:cs="仿宋_GB2312" w:eastAsia="仿宋_GB2312"/>
                      <w:sz w:val="20"/>
                      <w:b/>
                      <w:color w:val="000000"/>
                    </w:rPr>
                    <w:t>/批次）</w:t>
                  </w:r>
                </w:p>
              </w:tc>
              <w:tc>
                <w:tcPr>
                  <w:tcW w:type="dxa" w:w="2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定价招标，增加总批次数</w:t>
                  </w:r>
                </w:p>
              </w:tc>
              <w:tc>
                <w:tcPr>
                  <w:tcW w:type="dxa" w:w="1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批次递增，购样费用相应累加</w:t>
                  </w:r>
                  <w:r>
                    <w:br/>
                  </w:r>
                  <w:r>
                    <w:rPr>
                      <w:rFonts w:ascii="仿宋_GB2312" w:hAnsi="仿宋_GB2312" w:cs="仿宋_GB2312" w:eastAsia="仿宋_GB2312"/>
                      <w:sz w:val="20"/>
                      <w:b/>
                      <w:color w:val="000000"/>
                    </w:rPr>
                    <w:t>（万元）</w:t>
                  </w:r>
                </w:p>
              </w:tc>
              <w:tc>
                <w:tcPr>
                  <w:tcW w:type="dxa" w:w="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总抽检费</w:t>
                  </w:r>
                  <w:r>
                    <w:br/>
                  </w:r>
                  <w:r>
                    <w:rPr>
                      <w:rFonts w:ascii="仿宋_GB2312" w:hAnsi="仿宋_GB2312" w:cs="仿宋_GB2312" w:eastAsia="仿宋_GB2312"/>
                      <w:sz w:val="20"/>
                      <w:b/>
                      <w:color w:val="000000"/>
                    </w:rPr>
                    <w:t>（万元）</w:t>
                  </w:r>
                </w:p>
              </w:tc>
              <w:tc>
                <w:tcPr>
                  <w:tcW w:type="dxa" w:w="16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执行标准及检验项目</w:t>
                  </w:r>
                </w:p>
              </w:tc>
            </w:tr>
            <w:tr>
              <w:tc>
                <w:tcPr>
                  <w:tcW w:type="dxa" w:w="81"/>
                  <w:vMerge/>
                  <w:tcBorders>
                    <w:top w:val="single" w:color="000000" w:sz="4"/>
                    <w:left w:val="single" w:color="000000" w:sz="4"/>
                    <w:bottom w:val="single" w:color="000000" w:sz="4"/>
                    <w:right w:val="single" w:color="000000" w:sz="4"/>
                  </w:tcBorders>
                </w:tcPr>
                <w:p/>
              </w:tc>
              <w:tc>
                <w:tcPr>
                  <w:tcW w:type="dxa" w:w="125"/>
                  <w:vMerge/>
                  <w:tcBorders>
                    <w:top w:val="single" w:color="000000" w:sz="4"/>
                    <w:left w:val="none" w:color="000000" w:sz="4"/>
                    <w:bottom w:val="single" w:color="000000" w:sz="4"/>
                    <w:right w:val="single" w:color="000000" w:sz="4"/>
                  </w:tcBorders>
                </w:tcPr>
                <w:p/>
              </w:tc>
              <w:tc>
                <w:tcPr>
                  <w:tcW w:type="dxa" w:w="148"/>
                  <w:vMerge/>
                  <w:tcBorders>
                    <w:top w:val="single" w:color="000000" w:sz="4"/>
                    <w:left w:val="none" w:color="000000" w:sz="4"/>
                    <w:bottom w:val="single" w:color="000000" w:sz="4"/>
                    <w:right w:val="single" w:color="000000" w:sz="4"/>
                  </w:tcBorders>
                </w:tcPr>
                <w:p/>
              </w:tc>
              <w:tc>
                <w:tcPr>
                  <w:tcW w:type="dxa" w:w="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总批次数</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其中网抽批次数</w:t>
                  </w:r>
                </w:p>
              </w:tc>
              <w:tc>
                <w:tcPr>
                  <w:tcW w:type="dxa" w:w="165"/>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1604"/>
                  <w:vMerge/>
                  <w:tcBorders>
                    <w:top w:val="single" w:color="000000" w:sz="4"/>
                    <w:left w:val="none" w:color="000000" w:sz="4"/>
                    <w:bottom w:val="single" w:color="000000" w:sz="4"/>
                    <w:right w:val="single" w:color="000000" w:sz="4"/>
                  </w:tcBorders>
                </w:tcPr>
                <w:p/>
              </w:tc>
            </w:tr>
            <w:tr>
              <w:tc>
                <w:tcPr>
                  <w:tcW w:type="dxa" w:w="81"/>
                  <w:vMerge/>
                  <w:tcBorders>
                    <w:top w:val="single" w:color="000000" w:sz="4"/>
                    <w:left w:val="single" w:color="000000" w:sz="4"/>
                    <w:bottom w:val="single" w:color="000000" w:sz="4"/>
                    <w:right w:val="single" w:color="000000" w:sz="4"/>
                  </w:tcBorders>
                </w:tcPr>
                <w:p/>
              </w:tc>
              <w:tc>
                <w:tcPr>
                  <w:tcW w:type="dxa" w:w="125"/>
                  <w:vMerge/>
                  <w:tcBorders>
                    <w:top w:val="single" w:color="000000" w:sz="4"/>
                    <w:left w:val="none" w:color="000000" w:sz="4"/>
                    <w:bottom w:val="single" w:color="000000" w:sz="4"/>
                    <w:right w:val="single" w:color="000000" w:sz="4"/>
                  </w:tcBorders>
                </w:tcPr>
                <w:p/>
              </w:tc>
              <w:tc>
                <w:tcPr>
                  <w:tcW w:type="dxa" w:w="148"/>
                  <w:vMerge/>
                  <w:tcBorders>
                    <w:top w:val="single" w:color="000000" w:sz="4"/>
                    <w:left w:val="none" w:color="000000" w:sz="4"/>
                    <w:bottom w:val="single" w:color="000000" w:sz="4"/>
                    <w:right w:val="single" w:color="000000" w:sz="4"/>
                  </w:tcBorders>
                </w:tcPr>
                <w:p/>
              </w:tc>
              <w:tc>
                <w:tcPr>
                  <w:tcW w:type="dxa" w:w="104"/>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c>
                <w:tcPr>
                  <w:tcW w:type="dxa" w:w="165"/>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1604"/>
                  <w:vMerge/>
                  <w:tcBorders>
                    <w:top w:val="single" w:color="000000" w:sz="4"/>
                    <w:left w:val="none" w:color="000000" w:sz="4"/>
                    <w:bottom w:val="single" w:color="000000" w:sz="4"/>
                    <w:right w:val="single" w:color="000000" w:sz="4"/>
                  </w:tcBorders>
                </w:tc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手提式干粉灭火器</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0.02</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0.7</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32.1</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4351-2023；GB 4066-2017：20</w:t>
                  </w:r>
                  <w:r>
                    <w:rPr>
                      <w:rFonts w:ascii="仿宋_GB2312" w:hAnsi="仿宋_GB2312" w:cs="仿宋_GB2312" w:eastAsia="仿宋_GB2312"/>
                      <w:sz w:val="18"/>
                      <w:color w:val="000000"/>
                    </w:rPr>
                    <w:t>℃</w:t>
                  </w:r>
                  <w:r>
                    <w:rPr>
                      <w:rFonts w:ascii="仿宋_GB2312" w:hAnsi="仿宋_GB2312" w:cs="仿宋_GB2312" w:eastAsia="仿宋_GB2312"/>
                      <w:sz w:val="18"/>
                      <w:color w:val="000000"/>
                    </w:rPr>
                    <w:t>温度喷射性能试验、水压试验（筒体）、爆破试验、干粉灭火剂第一主要组分含量。</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消防水带</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0.02</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0.7</w:t>
                  </w:r>
                </w:p>
              </w:tc>
              <w:tc>
                <w:tcPr>
                  <w:tcW w:type="dxa" w:w="186"/>
                  <w:vMerge/>
                  <w:tcBorders>
                    <w:top w:val="none" w:color="000000" w:sz="4"/>
                    <w:left w:val="none" w:color="000000" w:sz="4"/>
                    <w:bottom w:val="single" w:color="000000" w:sz="4"/>
                    <w:right w:val="single" w:color="000000" w:sz="4"/>
                  </w:tcBorders>
                </w:tcP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6246-2011：外观质量检查、内径测量、长度测量、水压试验与爆破试验、单位长度质量检查、衬里物理力学性能。</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灭火毯</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0.01</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0.35</w:t>
                  </w:r>
                </w:p>
              </w:tc>
              <w:tc>
                <w:tcPr>
                  <w:tcW w:type="dxa" w:w="186"/>
                  <w:vMerge/>
                  <w:tcBorders>
                    <w:top w:val="none" w:color="000000" w:sz="4"/>
                    <w:left w:val="none" w:color="000000" w:sz="4"/>
                    <w:bottom w:val="single" w:color="000000" w:sz="4"/>
                    <w:right w:val="single" w:color="000000" w:sz="4"/>
                  </w:tcBorders>
                </w:tcP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XF 1205-2014：外观质量、尺寸、质量、操作性能、柔软性能、阻燃性能。</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过滤式消防自救呼吸器</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0.01</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0.35</w:t>
                  </w:r>
                </w:p>
              </w:tc>
              <w:tc>
                <w:tcPr>
                  <w:tcW w:type="dxa" w:w="186"/>
                  <w:vMerge/>
                  <w:tcBorders>
                    <w:top w:val="none" w:color="000000" w:sz="4"/>
                    <w:left w:val="none" w:color="000000" w:sz="4"/>
                    <w:bottom w:val="single" w:color="000000" w:sz="4"/>
                    <w:right w:val="single" w:color="000000" w:sz="4"/>
                  </w:tcBorders>
                </w:tcP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21976.7-2012：结构、佩戴质量、视野、连接强度、金属材料表面质量、标志。</w:t>
                  </w:r>
                </w:p>
              </w:tc>
            </w:tr>
          </w:tbl>
          <w:p>
            <w:pPr>
              <w:pStyle w:val="null3"/>
            </w:pPr>
            <w:r>
              <w:rPr>
                <w:rFonts w:ascii="仿宋_GB2312" w:hAnsi="仿宋_GB2312" w:cs="仿宋_GB2312" w:eastAsia="仿宋_GB2312"/>
              </w:rPr>
              <w:t>2.</w:t>
            </w:r>
            <w:r>
              <w:rPr>
                <w:rFonts w:ascii="仿宋_GB2312" w:hAnsi="仿宋_GB2312" w:cs="仿宋_GB2312" w:eastAsia="仿宋_GB2312"/>
                <w:sz w:val="21"/>
              </w:rPr>
              <w:t>供应商必须完成额定抽检批次数量。</w:t>
            </w:r>
          </w:p>
          <w:p>
            <w:pPr>
              <w:pStyle w:val="null3"/>
            </w:pPr>
            <w:r>
              <w:rPr>
                <w:rFonts w:ascii="仿宋_GB2312" w:hAnsi="仿宋_GB2312" w:cs="仿宋_GB2312" w:eastAsia="仿宋_GB2312"/>
                <w:sz w:val="21"/>
              </w:rPr>
              <w:t>3.</w:t>
            </w:r>
            <w:r>
              <w:rPr>
                <w:rFonts w:ascii="仿宋_GB2312" w:hAnsi="仿宋_GB2312" w:cs="仿宋_GB2312" w:eastAsia="仿宋_GB2312"/>
              </w:rPr>
              <w:t>根据《产品质量监督抽查管理暂行办法》要求，线下抽检的检验样品应当购买（但以非破坏性试验方式检验且不对样品质量造成实质性影响的除外），备用样品仅封存、不购买；线上抽检的检验样品与备用样品均需购买。</w:t>
            </w:r>
          </w:p>
          <w:p>
            <w:pPr>
              <w:pStyle w:val="null3"/>
              <w:jc w:val="both"/>
            </w:pPr>
            <w:r>
              <w:rPr>
                <w:rFonts w:ascii="仿宋_GB2312" w:hAnsi="仿宋_GB2312" w:cs="仿宋_GB2312" w:eastAsia="仿宋_GB2312"/>
              </w:rPr>
              <w:t>4.购样费指线下抽检的检验样品购买费，以及线上抽检的检验样品和备用样品购买费。</w:t>
            </w:r>
            <w:r>
              <w:br/>
            </w:r>
            <w:r>
              <w:rPr>
                <w:rFonts w:ascii="仿宋_GB2312" w:hAnsi="仿宋_GB2312" w:cs="仿宋_GB2312" w:eastAsia="仿宋_GB2312"/>
              </w:rPr>
              <w:t>抽检等费主要包括：抽样过程中发生的车辆保障费及人员旅差费、食宿费；检验费（含检验过程中发生的相关费用）；相关文件资料（含检验报告等相关资料文书送达）的中国邮政</w:t>
            </w:r>
            <w:r>
              <w:rPr>
                <w:rFonts w:ascii="仿宋_GB2312" w:hAnsi="仿宋_GB2312" w:cs="仿宋_GB2312" w:eastAsia="仿宋_GB2312"/>
              </w:rPr>
              <w:t>EMS邮寄费及相关通讯费用；以及其他与抽检工作相关的费用</w:t>
            </w:r>
            <w:r>
              <w:rPr>
                <w:rFonts w:ascii="仿宋_GB2312" w:hAnsi="仿宋_GB2312" w:cs="仿宋_GB2312" w:eastAsia="仿宋_GB2312"/>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预算经费由购样费与抽检等其他费用组成。定价招标方式下，在预算经费与购样费平均单价不变的前提下，抽样批次数增加时购样费相应递增，最终按不超过中标批次核算后的购样费进行结算。</w:t>
            </w:r>
            <w:r>
              <w:br/>
            </w:r>
            <w:r>
              <w:rPr>
                <w:rFonts w:ascii="仿宋_GB2312" w:hAnsi="仿宋_GB2312" w:cs="仿宋_GB2312" w:eastAsia="仿宋_GB2312"/>
                <w:sz w:val="21"/>
              </w:rPr>
              <w:t>示例：</w:t>
            </w:r>
            <w:r>
              <w:rPr>
                <w:rFonts w:ascii="仿宋_GB2312" w:hAnsi="仿宋_GB2312" w:cs="仿宋_GB2312" w:eastAsia="仿宋_GB2312"/>
                <w:sz w:val="21"/>
              </w:rPr>
              <w:t>A产品预算经费10万元，其中购样费1万元，购样费平均单价为0.01万元/批次（即100元/批次），对应可抽样100批次。若某承检机构拟报价抽样200批次，则购样费为0.01万元×200批次=2万元，抽检等其他经费则为8万元。</w:t>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标的名称：电动自行车电池等4种产品质量监督抽查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1.参数 </w:t>
            </w:r>
          </w:p>
          <w:tbl>
            <w:tblPr>
              <w:tblBorders>
                <w:top w:val="none" w:color="000000" w:sz="4"/>
                <w:left w:val="none" w:color="000000" w:sz="4"/>
                <w:bottom w:val="none" w:color="000000" w:sz="4"/>
                <w:right w:val="none" w:color="000000" w:sz="4"/>
                <w:insideH w:val="none"/>
                <w:insideV w:val="none"/>
              </w:tblBorders>
            </w:tblPr>
            <w:tblGrid>
              <w:gridCol w:w="81"/>
              <w:gridCol w:w="125"/>
              <w:gridCol w:w="148"/>
              <w:gridCol w:w="104"/>
              <w:gridCol w:w="138"/>
              <w:gridCol w:w="165"/>
              <w:gridCol w:w="186"/>
              <w:gridCol w:w="1604"/>
            </w:tblGrid>
            <w:tr>
              <w:tc>
                <w:tcPr>
                  <w:tcW w:type="dxa" w:w="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0"/>
                      <w:b/>
                      <w:color w:val="000000"/>
                    </w:rPr>
                    <w:t>产品名称</w:t>
                  </w:r>
                </w:p>
              </w:tc>
              <w:tc>
                <w:tcPr>
                  <w:tcW w:type="dxa" w:w="1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购样</w:t>
                  </w:r>
                  <w:r>
                    <w:br/>
                  </w:r>
                  <w:r>
                    <w:rPr>
                      <w:rFonts w:ascii="仿宋_GB2312" w:hAnsi="仿宋_GB2312" w:cs="仿宋_GB2312" w:eastAsia="仿宋_GB2312"/>
                      <w:sz w:val="20"/>
                      <w:b/>
                      <w:color w:val="000000"/>
                    </w:rPr>
                    <w:t>单批次价格</w:t>
                  </w:r>
                  <w:r>
                    <w:br/>
                  </w:r>
                  <w:r>
                    <w:rPr>
                      <w:rFonts w:ascii="仿宋_GB2312" w:hAnsi="仿宋_GB2312" w:cs="仿宋_GB2312" w:eastAsia="仿宋_GB2312"/>
                      <w:sz w:val="20"/>
                      <w:b/>
                      <w:color w:val="000000"/>
                    </w:rPr>
                    <w:t>（万元</w:t>
                  </w:r>
                  <w:r>
                    <w:rPr>
                      <w:rFonts w:ascii="仿宋_GB2312" w:hAnsi="仿宋_GB2312" w:cs="仿宋_GB2312" w:eastAsia="仿宋_GB2312"/>
                      <w:sz w:val="20"/>
                      <w:b/>
                      <w:color w:val="000000"/>
                    </w:rPr>
                    <w:t>/批次）</w:t>
                  </w:r>
                </w:p>
              </w:tc>
              <w:tc>
                <w:tcPr>
                  <w:tcW w:type="dxa" w:w="2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定价招标，增加总批次数</w:t>
                  </w:r>
                </w:p>
              </w:tc>
              <w:tc>
                <w:tcPr>
                  <w:tcW w:type="dxa" w:w="1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批次递增，购样费用相应累加</w:t>
                  </w:r>
                  <w:r>
                    <w:br/>
                  </w:r>
                  <w:r>
                    <w:rPr>
                      <w:rFonts w:ascii="仿宋_GB2312" w:hAnsi="仿宋_GB2312" w:cs="仿宋_GB2312" w:eastAsia="仿宋_GB2312"/>
                      <w:sz w:val="20"/>
                      <w:b/>
                      <w:color w:val="000000"/>
                    </w:rPr>
                    <w:t>（万元）</w:t>
                  </w:r>
                </w:p>
              </w:tc>
              <w:tc>
                <w:tcPr>
                  <w:tcW w:type="dxa" w:w="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总抽检费</w:t>
                  </w:r>
                  <w:r>
                    <w:br/>
                  </w:r>
                  <w:r>
                    <w:rPr>
                      <w:rFonts w:ascii="仿宋_GB2312" w:hAnsi="仿宋_GB2312" w:cs="仿宋_GB2312" w:eastAsia="仿宋_GB2312"/>
                      <w:sz w:val="20"/>
                      <w:b/>
                      <w:color w:val="000000"/>
                    </w:rPr>
                    <w:t>（万元）</w:t>
                  </w:r>
                </w:p>
              </w:tc>
              <w:tc>
                <w:tcPr>
                  <w:tcW w:type="dxa" w:w="16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执行标准及检验项目</w:t>
                  </w:r>
                </w:p>
              </w:tc>
            </w:tr>
            <w:tr>
              <w:tc>
                <w:tcPr>
                  <w:tcW w:type="dxa" w:w="81"/>
                  <w:vMerge/>
                  <w:tcBorders>
                    <w:top w:val="single" w:color="000000" w:sz="4"/>
                    <w:left w:val="single" w:color="000000" w:sz="4"/>
                    <w:bottom w:val="single" w:color="000000" w:sz="4"/>
                    <w:right w:val="single" w:color="000000" w:sz="4"/>
                  </w:tcBorders>
                </w:tcPr>
                <w:p/>
              </w:tc>
              <w:tc>
                <w:tcPr>
                  <w:tcW w:type="dxa" w:w="125"/>
                  <w:vMerge/>
                  <w:tcBorders>
                    <w:top w:val="single" w:color="000000" w:sz="4"/>
                    <w:left w:val="none" w:color="000000" w:sz="4"/>
                    <w:bottom w:val="single" w:color="000000" w:sz="4"/>
                    <w:right w:val="single" w:color="000000" w:sz="4"/>
                  </w:tcBorders>
                </w:tcPr>
                <w:p/>
              </w:tc>
              <w:tc>
                <w:tcPr>
                  <w:tcW w:type="dxa" w:w="148"/>
                  <w:vMerge/>
                  <w:tcBorders>
                    <w:top w:val="single" w:color="000000" w:sz="4"/>
                    <w:left w:val="none" w:color="000000" w:sz="4"/>
                    <w:bottom w:val="single" w:color="000000" w:sz="4"/>
                    <w:right w:val="single" w:color="000000" w:sz="4"/>
                  </w:tcBorders>
                </w:tcPr>
                <w:p/>
              </w:tc>
              <w:tc>
                <w:tcPr>
                  <w:tcW w:type="dxa" w:w="1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总批次数</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其中网抽批次数</w:t>
                  </w:r>
                </w:p>
              </w:tc>
              <w:tc>
                <w:tcPr>
                  <w:tcW w:type="dxa" w:w="165"/>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1604"/>
                  <w:vMerge/>
                  <w:tcBorders>
                    <w:top w:val="single" w:color="000000" w:sz="4"/>
                    <w:left w:val="none" w:color="000000" w:sz="4"/>
                    <w:bottom w:val="single" w:color="000000" w:sz="4"/>
                    <w:right w:val="single" w:color="000000" w:sz="4"/>
                  </w:tcBorders>
                </w:tcPr>
                <w:p/>
              </w:tc>
            </w:tr>
            <w:tr>
              <w:tc>
                <w:tcPr>
                  <w:tcW w:type="dxa" w:w="81"/>
                  <w:vMerge/>
                  <w:tcBorders>
                    <w:top w:val="single" w:color="000000" w:sz="4"/>
                    <w:left w:val="single" w:color="000000" w:sz="4"/>
                    <w:bottom w:val="single" w:color="000000" w:sz="4"/>
                    <w:right w:val="single" w:color="000000" w:sz="4"/>
                  </w:tcBorders>
                </w:tcPr>
                <w:p/>
              </w:tc>
              <w:tc>
                <w:tcPr>
                  <w:tcW w:type="dxa" w:w="125"/>
                  <w:vMerge/>
                  <w:tcBorders>
                    <w:top w:val="single" w:color="000000" w:sz="4"/>
                    <w:left w:val="none" w:color="000000" w:sz="4"/>
                    <w:bottom w:val="single" w:color="000000" w:sz="4"/>
                    <w:right w:val="single" w:color="000000" w:sz="4"/>
                  </w:tcBorders>
                </w:tcPr>
                <w:p/>
              </w:tc>
              <w:tc>
                <w:tcPr>
                  <w:tcW w:type="dxa" w:w="148"/>
                  <w:vMerge/>
                  <w:tcBorders>
                    <w:top w:val="single" w:color="000000" w:sz="4"/>
                    <w:left w:val="none" w:color="000000" w:sz="4"/>
                    <w:bottom w:val="single" w:color="000000" w:sz="4"/>
                    <w:right w:val="single" w:color="000000" w:sz="4"/>
                  </w:tcBorders>
                </w:tcPr>
                <w:p/>
              </w:tc>
              <w:tc>
                <w:tcPr>
                  <w:tcW w:type="dxa" w:w="104"/>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c>
                <w:tcPr>
                  <w:tcW w:type="dxa" w:w="165"/>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1604"/>
                  <w:vMerge/>
                  <w:tcBorders>
                    <w:top w:val="single" w:color="000000" w:sz="4"/>
                    <w:left w:val="none" w:color="000000" w:sz="4"/>
                    <w:bottom w:val="single" w:color="000000" w:sz="4"/>
                    <w:right w:val="single" w:color="000000" w:sz="4"/>
                  </w:tcBorders>
                </w:tcP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电动自行车电池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0.07</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48.6</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GB/T 22199.1</w:t>
                  </w:r>
                  <w:r>
                    <w:rPr>
                      <w:rFonts w:ascii="仿宋_GB2312" w:hAnsi="仿宋_GB2312" w:cs="仿宋_GB2312" w:eastAsia="仿宋_GB2312"/>
                      <w:sz w:val="18"/>
                      <w:color w:val="000000"/>
                    </w:rPr>
                    <w:t>—</w:t>
                  </w:r>
                  <w:r>
                    <w:rPr>
                      <w:rFonts w:ascii="仿宋_GB2312" w:hAnsi="仿宋_GB2312" w:cs="仿宋_GB2312" w:eastAsia="仿宋_GB2312"/>
                      <w:sz w:val="18"/>
                      <w:color w:val="000000"/>
                    </w:rPr>
                    <w:t>2017  电动助力车用阀控式铅酸蓄电池 第1部分：技术条件；GB 43854</w:t>
                  </w:r>
                  <w:r>
                    <w:rPr>
                      <w:rFonts w:ascii="仿宋_GB2312" w:hAnsi="仿宋_GB2312" w:cs="仿宋_GB2312" w:eastAsia="仿宋_GB2312"/>
                      <w:sz w:val="18"/>
                      <w:color w:val="000000"/>
                    </w:rPr>
                    <w:t>—</w:t>
                  </w:r>
                  <w:r>
                    <w:rPr>
                      <w:rFonts w:ascii="仿宋_GB2312" w:hAnsi="仿宋_GB2312" w:cs="仿宋_GB2312" w:eastAsia="仿宋_GB2312"/>
                      <w:sz w:val="18"/>
                      <w:color w:val="000000"/>
                    </w:rPr>
                    <w:t>2024  电动自行车用锂离子蓄电池安全技术规范：电动助力车用阀控式铅酸蓄电池（GB/T 22199.1</w:t>
                  </w:r>
                  <w:r>
                    <w:rPr>
                      <w:rFonts w:ascii="仿宋_GB2312" w:hAnsi="仿宋_GB2312" w:cs="仿宋_GB2312" w:eastAsia="仿宋_GB2312"/>
                      <w:sz w:val="18"/>
                      <w:color w:val="000000"/>
                    </w:rPr>
                    <w:t>—</w:t>
                  </w:r>
                  <w:r>
                    <w:rPr>
                      <w:rFonts w:ascii="仿宋_GB2312" w:hAnsi="仿宋_GB2312" w:cs="仿宋_GB2312" w:eastAsia="仿宋_GB2312"/>
                      <w:sz w:val="18"/>
                      <w:color w:val="000000"/>
                    </w:rPr>
                    <w:t>2017）：1 2hr容量、2 大电流放电、3 能量密度、4 低温容量、5 快速充电能力、6 防爆能力电动自行车用锂离子蓄电池（GB 43854</w:t>
                  </w:r>
                  <w:r>
                    <w:rPr>
                      <w:rFonts w:ascii="仿宋_GB2312" w:hAnsi="仿宋_GB2312" w:cs="仿宋_GB2312" w:eastAsia="仿宋_GB2312"/>
                      <w:sz w:val="18"/>
                      <w:color w:val="000000"/>
                    </w:rPr>
                    <w:t>—</w:t>
                  </w:r>
                  <w:r>
                    <w:rPr>
                      <w:rFonts w:ascii="仿宋_GB2312" w:hAnsi="仿宋_GB2312" w:cs="仿宋_GB2312" w:eastAsia="仿宋_GB2312"/>
                      <w:sz w:val="18"/>
                      <w:color w:val="000000"/>
                    </w:rPr>
                    <w:t>2024的电池组）：1 I2(A)放电、2 过放电、3 过充电、4 外部短路、5 过流放电、6 阻燃性a。</w:t>
                  </w:r>
                  <w:r>
                    <w:br/>
                  </w:r>
                  <w:r>
                    <w:rPr>
                      <w:rFonts w:ascii="仿宋_GB2312" w:hAnsi="仿宋_GB2312" w:cs="仿宋_GB2312" w:eastAsia="仿宋_GB2312"/>
                      <w:sz w:val="18"/>
                      <w:color w:val="000000"/>
                    </w:rPr>
                    <w:t>注：</w:t>
                  </w:r>
                  <w:r>
                    <w:rPr>
                      <w:rFonts w:ascii="仿宋_GB2312" w:hAnsi="仿宋_GB2312" w:cs="仿宋_GB2312" w:eastAsia="仿宋_GB2312"/>
                      <w:sz w:val="18"/>
                      <w:color w:val="000000"/>
                    </w:rPr>
                    <w:t>a 只测非金属外壳。</w:t>
                  </w:r>
                </w:p>
              </w:tc>
            </w:tr>
            <w:tr>
              <w:tc>
                <w:tcPr>
                  <w:tcW w:type="dxa" w:w="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电动自行车充电器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0.03</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86"/>
                  <w:vMerge/>
                  <w:tcBorders>
                    <w:top w:val="none" w:color="000000" w:sz="4"/>
                    <w:left w:val="none" w:color="000000" w:sz="4"/>
                    <w:bottom w:val="single" w:color="000000" w:sz="4"/>
                    <w:right w:val="single" w:color="000000" w:sz="4"/>
                  </w:tcBorders>
                </w:tcP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42296-2022外壳冲击、跌落、工作温度下的泄漏电流、电气强度、防触电保护、非正常工作（仅测5.2.5.1、5.2.5.2）、超温保护、过充切断、延时切断、耐热、灼热丝、编码。</w:t>
                  </w:r>
                </w:p>
              </w:tc>
            </w:tr>
            <w:tr>
              <w:tc>
                <w:tcPr>
                  <w:tcW w:type="dxa" w:w="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锁具（电子门锁）</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0.15</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5.25</w:t>
                  </w:r>
                </w:p>
              </w:tc>
              <w:tc>
                <w:tcPr>
                  <w:tcW w:type="dxa" w:w="186"/>
                  <w:vMerge/>
                  <w:tcBorders>
                    <w:top w:val="none" w:color="000000" w:sz="4"/>
                    <w:left w:val="none" w:color="000000" w:sz="4"/>
                    <w:bottom w:val="single" w:color="000000" w:sz="4"/>
                    <w:right w:val="single" w:color="000000" w:sz="4"/>
                  </w:tcBorders>
                </w:tcP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21556.2-2025：输入错误报警、防拆报警、主锁舌强度（主锁舌抗侧向静压力、主锁舌抗轴向静压力）、手动部件强度、电池容量、低电量/低电压指示、气候环境适应性（高温、低温、恒定湿热）、电气安全性（阻燃）、键盘输入鉴别安全、口令安全</w:t>
                  </w:r>
                </w:p>
                <w:p>
                  <w:pPr>
                    <w:pStyle w:val="null3"/>
                    <w:jc w:val="left"/>
                  </w:pPr>
                  <w:r>
                    <w:rPr>
                      <w:rFonts w:ascii="仿宋_GB2312" w:hAnsi="仿宋_GB2312" w:cs="仿宋_GB2312" w:eastAsia="仿宋_GB2312"/>
                      <w:sz w:val="18"/>
                      <w:color w:val="000000"/>
                    </w:rPr>
                    <w:t>GB 21556-2008：锁舌轴向静载荷、锁舌侧向静载荷、执手承受静拉力及扭矩、安全性要求、电源性能（电池容量，欠压，电源适应性）、信息保存及误识率、防破坏报警功能、环境适应性（高温，低温，湿热）</w:t>
                  </w:r>
                </w:p>
                <w:p>
                  <w:pPr>
                    <w:pStyle w:val="null3"/>
                    <w:jc w:val="left"/>
                  </w:pPr>
                  <w:r>
                    <w:rPr>
                      <w:rFonts w:ascii="仿宋_GB2312" w:hAnsi="仿宋_GB2312" w:cs="仿宋_GB2312" w:eastAsia="仿宋_GB2312"/>
                      <w:sz w:val="18"/>
                      <w:color w:val="000000"/>
                    </w:rPr>
                    <w:t>GA 374-2019：主锁舌抗轴向静压力、主锁舌抗侧向静压力、手动部件强度、阻燃、供电方式、电池容量、欠压指示、电源电压适应范围、信息保存、输入错误报警、防拆报警、高温、低温、恒定湿热。</w:t>
                  </w:r>
                </w:p>
              </w:tc>
            </w:tr>
            <w:tr>
              <w:tc>
                <w:tcPr>
                  <w:tcW w:type="dxa" w:w="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电源适配器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0.01</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0.45</w:t>
                  </w:r>
                </w:p>
              </w:tc>
              <w:tc>
                <w:tcPr>
                  <w:tcW w:type="dxa" w:w="186"/>
                  <w:vMerge/>
                  <w:tcBorders>
                    <w:top w:val="none" w:color="000000" w:sz="4"/>
                    <w:left w:val="none" w:color="000000" w:sz="4"/>
                    <w:bottom w:val="single" w:color="000000" w:sz="4"/>
                    <w:right w:val="single" w:color="000000" w:sz="4"/>
                  </w:tcBorders>
                </w:tcP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GB 4943.1</w:t>
                  </w:r>
                  <w:r>
                    <w:rPr>
                      <w:rFonts w:ascii="仿宋_GB2312" w:hAnsi="仿宋_GB2312" w:cs="仿宋_GB2312" w:eastAsia="仿宋_GB2312"/>
                      <w:sz w:val="18"/>
                      <w:color w:val="000000"/>
                    </w:rPr>
                    <w:t>—</w:t>
                  </w:r>
                  <w:r>
                    <w:rPr>
                      <w:rFonts w:ascii="仿宋_GB2312" w:hAnsi="仿宋_GB2312" w:cs="仿宋_GB2312" w:eastAsia="仿宋_GB2312"/>
                      <w:sz w:val="18"/>
                      <w:color w:val="000000"/>
                    </w:rPr>
                    <w:t>2022；GB/T 9254.1</w:t>
                  </w:r>
                  <w:r>
                    <w:rPr>
                      <w:rFonts w:ascii="仿宋_GB2312" w:hAnsi="仿宋_GB2312" w:cs="仿宋_GB2312" w:eastAsia="仿宋_GB2312"/>
                      <w:sz w:val="18"/>
                      <w:color w:val="000000"/>
                    </w:rPr>
                    <w:t>—</w:t>
                  </w:r>
                  <w:r>
                    <w:rPr>
                      <w:rFonts w:ascii="仿宋_GB2312" w:hAnsi="仿宋_GB2312" w:cs="仿宋_GB2312" w:eastAsia="仿宋_GB2312"/>
                      <w:sz w:val="18"/>
                      <w:color w:val="000000"/>
                    </w:rPr>
                    <w:t>2021：电气间隙、爬电距离、抗电强度试验、断开连接器后电容器的放电、预期的接触电压、接触电流和保护导体电流。</w:t>
                  </w:r>
                </w:p>
              </w:tc>
            </w:tr>
          </w:tbl>
          <w:p>
            <w:pPr>
              <w:pStyle w:val="null3"/>
            </w:pPr>
            <w:r>
              <w:rPr>
                <w:rFonts w:ascii="仿宋_GB2312" w:hAnsi="仿宋_GB2312" w:cs="仿宋_GB2312" w:eastAsia="仿宋_GB2312"/>
              </w:rPr>
              <w:t>2.</w:t>
            </w:r>
            <w:r>
              <w:rPr>
                <w:rFonts w:ascii="仿宋_GB2312" w:hAnsi="仿宋_GB2312" w:cs="仿宋_GB2312" w:eastAsia="仿宋_GB2312"/>
                <w:sz w:val="21"/>
              </w:rPr>
              <w:t>供应商必须完成额定抽检批次数量。</w:t>
            </w:r>
          </w:p>
          <w:p>
            <w:pPr>
              <w:pStyle w:val="null3"/>
            </w:pPr>
            <w:r>
              <w:rPr>
                <w:rFonts w:ascii="仿宋_GB2312" w:hAnsi="仿宋_GB2312" w:cs="仿宋_GB2312" w:eastAsia="仿宋_GB2312"/>
                <w:sz w:val="21"/>
              </w:rPr>
              <w:t>3.</w:t>
            </w:r>
            <w:r>
              <w:rPr>
                <w:rFonts w:ascii="仿宋_GB2312" w:hAnsi="仿宋_GB2312" w:cs="仿宋_GB2312" w:eastAsia="仿宋_GB2312"/>
              </w:rPr>
              <w:t>根据《产品质量监督抽查管理暂行办法》要求，线下抽检的检验样品应当购买（但以非破坏性试验方式检验且不对样品质量造成实质性影响的除外），备用样品仅封存、不购买；线上抽检的检验样品与备用样品均需购买。</w:t>
            </w:r>
          </w:p>
          <w:p>
            <w:pPr>
              <w:pStyle w:val="null3"/>
              <w:jc w:val="both"/>
            </w:pPr>
            <w:r>
              <w:rPr>
                <w:rFonts w:ascii="仿宋_GB2312" w:hAnsi="仿宋_GB2312" w:cs="仿宋_GB2312" w:eastAsia="仿宋_GB2312"/>
              </w:rPr>
              <w:t>4.购样费指线下抽检的检验样品购买费，以及线上抽检的检验样品和备用样品购买费。</w:t>
            </w:r>
            <w:r>
              <w:br/>
            </w:r>
            <w:r>
              <w:rPr>
                <w:rFonts w:ascii="仿宋_GB2312" w:hAnsi="仿宋_GB2312" w:cs="仿宋_GB2312" w:eastAsia="仿宋_GB2312"/>
              </w:rPr>
              <w:t>抽检等费主要包括：抽样过程中发生的车辆保障费及人员旅差费、食宿费；检验费（含检验过程中发生的相关费用）；相关文件资料（含检验报告等相关资料文书送达）的中国邮政</w:t>
            </w:r>
            <w:r>
              <w:rPr>
                <w:rFonts w:ascii="仿宋_GB2312" w:hAnsi="仿宋_GB2312" w:cs="仿宋_GB2312" w:eastAsia="仿宋_GB2312"/>
              </w:rPr>
              <w:t>EMS邮寄费及相关通讯费用；以及其他与抽检工作相关的费用</w:t>
            </w:r>
            <w:r>
              <w:rPr>
                <w:rFonts w:ascii="仿宋_GB2312" w:hAnsi="仿宋_GB2312" w:cs="仿宋_GB2312" w:eastAsia="仿宋_GB2312"/>
              </w:rPr>
              <w:t>。</w:t>
            </w:r>
          </w:p>
          <w:p>
            <w:pPr>
              <w:pStyle w:val="null3"/>
            </w:pPr>
            <w:r>
              <w:rPr>
                <w:rFonts w:ascii="仿宋_GB2312" w:hAnsi="仿宋_GB2312" w:cs="仿宋_GB2312" w:eastAsia="仿宋_GB2312"/>
                <w:sz w:val="21"/>
              </w:rPr>
              <w:t>5.预算经费由购样费与抽检等其他费用组成。定价招标方式下，在预算经费与购样费平均单价不变的前提下，抽样批次数增加时购样费相应递增，最终按不超过中标批次核算后的购样费进行结算。</w:t>
            </w:r>
            <w:r>
              <w:br/>
            </w:r>
            <w:r>
              <w:rPr>
                <w:rFonts w:ascii="仿宋_GB2312" w:hAnsi="仿宋_GB2312" w:cs="仿宋_GB2312" w:eastAsia="仿宋_GB2312"/>
                <w:sz w:val="21"/>
              </w:rPr>
              <w:t>示例：</w:t>
            </w:r>
            <w:r>
              <w:rPr>
                <w:rFonts w:ascii="仿宋_GB2312" w:hAnsi="仿宋_GB2312" w:cs="仿宋_GB2312" w:eastAsia="仿宋_GB2312"/>
                <w:sz w:val="21"/>
              </w:rPr>
              <w:t>A产品预算经费10万元，其中购样费1万元，购样费平均单价为0.01万元/批次（即100元/批次），对应可抽样100批次。若某承检机构拟报价抽样200批次，则购样费为0.01万元×200批次=2万元，抽检等其他经费则为8万元。</w:t>
            </w: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所配备人员充足且专业能力满足采购需求，可保证本项目顺利实施。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所提供设施设备充足先进，满足检验要求，可保证本项目顺利实施。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本项目为定价招标，因格式限制，现对各投标人报价进行统一规定，采购包1单价为 2813.41 元；投标总报价为 309475.10 元；请各投标人按照上述报价规定执行，否则按无效投标处理。各投标人根据自身情况另行响应拟投批次数量。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本项目为定价招标，因格式限制，现对各投标人报价进行统一规定，采购包2单价为 2636.36 元；投标总报价为 289999.60 元；请各投标人按照上述报价规定执行，否则按无效投标处理。各投标人根据自身情况另行响应拟投批次数量。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本项目为定价招标，因格式限制，现对各投标人报价进行统一规定，采购包3单价为 3125.00 元；投标总报价为 500000.00 元；请各投标人按照上述报价规定执行，否则按无效投标处理。各投标人根据自身情况另行响应拟投批次数量。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本项目为定价招标，因格式限制，现对各投标人报价进行统一规定，采购包4单价为 2675.00 元；投标总报价为 321000.00 元；请各投标人按照上述报价规定执行，否则按无效投标处理。各投标人根据自身情况另行响应拟投批次数量。</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本项目为定价招标，因格式限制，现对各投标人报价进行统一规定，采购包5单价为 3037.50 元；投标总报价为 486000.00 元。请各投标人按照上述报价规定执行，否则按无效投标处理。各投标人根据自身情况另行响应拟投批次数量。</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供应商所出具的检验报告满足国家或行业规范执行标准。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供应商所出具的检验报告满足国家或行业规范执行标准。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 xml:space="preserve"> 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服务期结束且验收合格后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按照合同约定执行，详见合同附件。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（1）落实异常低价审查 （1.1）评审中出现下列情形之一的，评标委员会应当启动异常低价投标（响应）审查程序： （1.1.1）投标（响应）报价低于全部通过符合性审查供应商投标（响应）报价平均值50%的，即投标（响应）报价&lt;全部通过符合性审查供应商投标（响应）报价平均值×50%； （1.1.2）投标（响应）报价低于通过符合性审查的次低报价供应商投标（响应）报价50%的，即投标（响应）报价&lt;通过符合性审查的次低报价供应商投标（响应）报价×50%； （1.1.3）投标（响应）报价低于采购项目最高限价45%的，即投标（响应）报价&lt;采购项目最高限价×45%； （1.1.4）评标委员会基于专业判断，认为供应商报价过低，有可能影响产品质量或者不能诚信履约的其他情形。 （1.2）相关法律法规对供应商报价有规定的，从其规定。 （1.3）评标委员会启动异常低价投标（响应）审查后，属于（1.1）中第（1.1.1）项至第（1.1.4）项情形的，应当要求相关供应商在评审现场合理的时间内对投标（响应）价格作出解释，提供项目具体成本测算等与报价合理性相关的书面说明及必要的证明材料，包括但不限于原材料成本、人工成本、制造费用等。其中，属于第（1.1.3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2）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续页码），在封口处加盖供应商公章；纸质投标文件递交截止时间与线上开评标时间一致；纸质投标文件可邮寄递交，应于递交投标文件截止时间前邮寄到代理机构（地点：西安市高新区丈八一路1号汇鑫中心D座2206陕西德勤招标有限公司）。 （3）如提交保函，建议至少提前一个工作日将保函正本送至采购代理机构，如提供电子保函，应将电子保函发送至代理机构指定邮箱deqinjsl@126.com。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供应商须提供合法有效的计量认证证书（CMA）。</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其他特殊资格</w:t>
            </w:r>
          </w:p>
        </w:tc>
        <w:tc>
          <w:tcPr>
            <w:tcW w:type="dxa" w:w="3322"/>
          </w:tcPr>
          <w:p>
            <w:pPr>
              <w:pStyle w:val="null3"/>
            </w:pPr>
            <w:r>
              <w:rPr>
                <w:rFonts w:ascii="仿宋_GB2312" w:hAnsi="仿宋_GB2312" w:cs="仿宋_GB2312" w:eastAsia="仿宋_GB2312"/>
              </w:rPr>
              <w:t>本项目不接受从事承检产品生产、经营活动的供应商参与投标，供应商须提供相关声明。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供应商须提供合法有效的计量认证证书（CMA）。</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其他特殊资格</w:t>
            </w:r>
          </w:p>
        </w:tc>
        <w:tc>
          <w:tcPr>
            <w:tcW w:type="dxa" w:w="3322"/>
          </w:tcPr>
          <w:p>
            <w:pPr>
              <w:pStyle w:val="null3"/>
            </w:pPr>
            <w:r>
              <w:rPr>
                <w:rFonts w:ascii="仿宋_GB2312" w:hAnsi="仿宋_GB2312" w:cs="仿宋_GB2312" w:eastAsia="仿宋_GB2312"/>
              </w:rPr>
              <w:t>本项目不接受从事承检产品生产、经营活动的供应商参与投标，供应商须提供相关声明。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供应商须提供合法有效的计量认证证书（CMA）。</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其他特殊资格</w:t>
            </w:r>
          </w:p>
        </w:tc>
        <w:tc>
          <w:tcPr>
            <w:tcW w:type="dxa" w:w="3322"/>
          </w:tcPr>
          <w:p>
            <w:pPr>
              <w:pStyle w:val="null3"/>
            </w:pPr>
            <w:r>
              <w:rPr>
                <w:rFonts w:ascii="仿宋_GB2312" w:hAnsi="仿宋_GB2312" w:cs="仿宋_GB2312" w:eastAsia="仿宋_GB2312"/>
              </w:rPr>
              <w:t>本项目不接受从事承检产品生产、经营活动的供应商参与投标，供应商须提供相关声明。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供应商须提供合法有效的计量认证证书（CMA）。</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其他特殊资格</w:t>
            </w:r>
          </w:p>
        </w:tc>
        <w:tc>
          <w:tcPr>
            <w:tcW w:type="dxa" w:w="3322"/>
          </w:tcPr>
          <w:p>
            <w:pPr>
              <w:pStyle w:val="null3"/>
            </w:pPr>
            <w:r>
              <w:rPr>
                <w:rFonts w:ascii="仿宋_GB2312" w:hAnsi="仿宋_GB2312" w:cs="仿宋_GB2312" w:eastAsia="仿宋_GB2312"/>
              </w:rPr>
              <w:t>本项目不接受从事承检产品生产、经营活动的供应商参与投标，供应商须提供相关声明。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供应商须提供合法有效的计量认证证书（CMA）。</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其他特殊资格</w:t>
            </w:r>
          </w:p>
        </w:tc>
        <w:tc>
          <w:tcPr>
            <w:tcW w:type="dxa" w:w="3322"/>
          </w:tcPr>
          <w:p>
            <w:pPr>
              <w:pStyle w:val="null3"/>
            </w:pPr>
            <w:r>
              <w:rPr>
                <w:rFonts w:ascii="仿宋_GB2312" w:hAnsi="仿宋_GB2312" w:cs="仿宋_GB2312" w:eastAsia="仿宋_GB2312"/>
              </w:rPr>
              <w:t>本项目不接受从事承检产品生产、经营活动的供应商参与投标，供应商须提供相关声明。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投标函 投标文件封面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残疾人福利性单位声明函 标的清单 非联合体不分包投标声明 近三年无重大违法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投标函 残疾人福利性单位声明函 服务方案 标的清单 非联合体不分包投标声明 投标文件封面 近三年无重大违法 书面声明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残疾人福利性单位声明函 标的清单 非联合体不分包投标声明 近三年无重大违法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投标函 残疾人福利性单位声明函 服务方案 标的清单 非联合体不分包投标声明 投标文件封面 近三年无重大违法 书面声明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残疾人福利性单位声明函 标的清单 非联合体不分包投标声明 近三年无重大违法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投标函 残疾人福利性单位声明函 服务方案 标的清单 非联合体不分包投标声明 投标文件封面 近三年无重大违法 书面声明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残疾人福利性单位声明函 标的清单 非联合体不分包投标声明 近三年无重大违法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投标函 残疾人福利性单位声明函 服务方案 标的清单 非联合体不分包投标声明 投标文件封面 近三年无重大违法 书面声明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残疾人福利性单位声明函 标的清单 非联合体不分包投标声明 近三年无重大违法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投标函 残疾人福利性单位声明函 服务方案 标的清单 非联合体不分包投标声明 投标文件封面 近三年无重大违法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防火门等21种产品质量监督抽查响应表(1包)</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防火门等21种产品质量监督抽查响应表(1包)》，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 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防火门等21种产品质量监督抽查响应表(1包)</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服务方案中需要对本项目的机构内部工作部署、抽样、样品接收及核查、检验、配合异议处理及复检的工作内容和安排、检验结果的处理、保密工作、检验结果数据追溯的实施等内容进行合理安排和制定。 评审标准：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（1）机构内部工作部署方案，满分6分；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（2）抽检服务方案，满分7分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（3）后期工作方案，满分6分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1.检验人员，满分6分 具有与检验检测、化学、质量、标准化等相关专业的中级（含）以上职称检验人员或具有10年（含）以上产品检验工作经历的人员数量≥8人，得6分； 具有与检验检测、化学、质量、标准化等相关专业的中级（含）以上职称检验人员或具有10年（含）以上产品检验工作经历的人员数量介于4（含）人-7（含）人之间的，得3分； 其余得0分。 2.抽样人员，满分6分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一、产业总体情况及质量现状分析方案，满分5分 产业总体情况及质量现状分析材料（方案中需要对全国及陕西产业分布情况、产业现状、产品的质量现状、应用前景和发展趋势进行分析）： 每有一项缺项内容扣1分，每有一处内容存在缺陷扣0.5分（缺陷是指： 存在不适用项目实际情况的情形、 凭空编造、前后不一致、前后逻辑 错误、涉及的规范及标准错误、套 用其他方案、只有简单描述无实质 性内容。 未提供不得分。 二、应急保障，满分4分 重点难点分析及应对措施，应急预案和紧急事件处置措施（涉及因素：人员、时间、距离、地域市场熟悉度）： 每有一项缺项内容扣1分，每有一处 内容存在缺陷扣0.5分（缺陷是指：存在不适用项目实际情况的情形、凭空编造、前后不一致、前后逻辑错误、涉及的规范及标准错误、套用其他方案、只有简单描述无实质性内容。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（1） 承诺：中标后我单位将在合同履约期限内随时服从采购人产品质量监督抽查工作部署，优先实施中标产品质量监督抽查服务，并按采购人规定时限和抽样产品服务要求规格价格要求不折不扣地完成中标数量（批次）抽样检验服务工作； （2）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（3） 承诺：运用陕西省市场监督管理局产品质量监督信息系统，按照《中华人民共和国产品质量法》《产品质量监督抽查管理暂行办法》《产品质量监督抽查委托协议》《产品质量监督抽查的通知》要求完成各项工作。 （4） 承诺：中标后在投标文件中所承诺的事宜未兑现，采购人在认定我单位失信行为后,有权解除所签订的技术服务协议，解除协议之前中所产生的费用采购人不予支付，由我单位自行承担。 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提供１个品目产品的描述的得1分，满分4分。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满分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w:t>
            </w:r>
          </w:p>
        </w:tc>
        <w:tc>
          <w:tcPr>
            <w:tcW w:type="dxa" w:w="2492"/>
          </w:tcPr>
          <w:p>
            <w:pPr>
              <w:pStyle w:val="null3"/>
            </w:pPr>
            <w:r>
              <w:rPr>
                <w:rFonts w:ascii="仿宋_GB2312" w:hAnsi="仿宋_GB2312" w:cs="仿宋_GB2312" w:eastAsia="仿宋_GB2312"/>
              </w:rPr>
              <w:t>总抽检批次得分=品目1总抽检批次得分×20%+品目2总抽检批次得分×20%+品目3总抽检批次得分×20%+品目4总抽检批次得分×20%+品目5总抽检批次得分×20% 品目1抽检批次得分：P=10×Pn/Pmax 品目2抽检批次得分：P=10×Pn/Pmax 品目3抽检批次得分：P=10×Pn/Pmax 品目4抽检批次得分：P=10×Pn/Pmax 品目5抽检批次得分：P=10×Pn/Pmax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防火门等21种产品质量监督抽查响应表(2包)</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防火门等21种产品质量监督抽查响应表(2包)》，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 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防火门等21种产品质量监督抽查响应表(2包)</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服务方案中需要对本项目的机构内部工作部署、抽样、样品接收及核查、检验、配合异议处理及复检的工作内容和安排、检验结果的处理、保密工作、检验结果数据追溯的实施等内容进行合理安排和制定。 评审标准：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（1）机构内部工作部署方案，满分6分；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（2）抽检服务方案，满分7分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（3）后期工作方案，满分6分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1.检验人员，满分6分 具有与检验检测、化学、质量、标准化等相关专业的中级（含）以上职称检验人员或具有10年（含）以上产品检验工作经历的人员数量≥8人，得6分； 具有与检验检测、化学、质量、标准化等相关专业的中级（含）以上职称检验人员或具有10年（含）以上产品检验工作经历的人员数量介于4（含）人-7（含）人之间的，得3分； 其余得0分。 2.抽样人员，满分6分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一、产业总体情况及质量现状分析方案，满分5分 产业总体情况及质量现状分析材料（方案中需要对全国及陕西产业分布情况、产业现状、产品的质量现状、应用前景和发展趋势进行分析）： 每有一项缺项内容扣1分，每有一处内容存在缺陷扣0.5分（缺陷是指： 存在不适用项目实际情况的情形、 凭空编造、前后不一致、前后逻辑 错误、涉及的规范及标准错误、套 用其他方案、只有简单描述无实质 性内容。 未提供不得分。 二、应急保障，满分4分 重点难点分析及应对措施，应急预案和紧急事件处置措施（涉及因素：人员、时间、距离、地域市场熟悉度）： 每有一项缺项内容扣1分，每有一处 内容存在缺陷扣0.5分（缺陷是指：存在不适用项目实际情况的情形、凭空编造、前后不一致、前后逻辑错误、涉及的规范及标准错误、套用其他方案、只有简单描述无实质性内容。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（1） 承诺：中标后我单位将在合同履约期限内随时服从采购人产品质量监督抽查工作部署，优先实施中标产品质量监督抽查服务，并按采购人规定时限和抽样产品服务要求规格价格要求不折不扣地完成中标数量（批次）抽样检验服务工作； （2）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（3） 承诺：运用陕西省市场监督管理局产品质量监督信息系统，按照《中华人民共和国产品质量法》《产品质量监督抽查管理暂行办法》《产品质量监督抽查委托协议》《产品质量监督抽查的通知》要求完成各项工作。 （4） 承诺：中标后在投标文件中所承诺的事宜未兑现，采购人在认定我单位失信行为后,有权解除所签订的技术服务协议，解除协议之前中所产生的费用采购人不予支付，由我单位自行承担。 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提供１个品目产品的描述的得1分，满分4分。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满分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防火门等21种产品质量监督抽查响应表(3包)</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防火门等21种产品质量监督抽查响应表(3包)》，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 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防火门等21种产品质量监督抽查响应表(3包)</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服务方案中需要对本项目的机构内部工作部署、抽样、样品接收及核查、检验、配合异议处理及复检的工作内容和安排、检验结果的处理、保密工作、检验结果数据追溯的实施等内容进行合理安排和制定。 评审标准：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（1）机构内部工作部署方案，满分6分；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（2）抽检服务方案，满分7分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（3）后期工作方案，满分6分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1.检验人员，满分6分 具有与检验检测、化学、质量、标准化等相关专业的中级（含）以上职称检验人员或具有10年（含）以上产品检验工作经历的人员数量≥8人，得6分； 具有与检验检测、化学、质量、标准化等相关专业的中级（含）以上职称检验人员或具有10年（含）以上产品检验工作经历的人员数量介于4（含）人-7（含）人之间的，得3分； 其余得0分。 2.抽样人员，满分6分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一、产业总体情况及质量现状分析方案，满分5分 产业总体情况及质量现状分析材料（方案中需要对全国及陕西产业分布情况、产业现状、产品的质量现状、应用前景和发展趋势进行分析）： 每有一项缺项内容扣1分，每有一处内容存在缺陷扣0.5分（缺陷是指： 存在不适用项目实际情况的情形、 凭空编造、前后不一致、前后逻辑 错误、涉及的规范及标准错误、套 用其他方案、只有简单描述无实质 性内容。 未提供不得分。 二、应急保障，满分4分 重点难点分析及应对措施，应急预案和紧急事件处置措施（涉及因素：人员、时间、距离、地域市场熟悉度）： 每有一项缺项内容扣1分，每有一处 内容存在缺陷扣0.5分（缺陷是指：存在不适用项目实际情况的情形、凭空编造、前后不一致、前后逻辑错误、涉及的规范及标准错误、套用其他方案、只有简单描述无实质性内容。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（1） 承诺：中标后我单位将在合同履约期限内随时服从采购人产品质量监督抽查工作部署，优先实施中标产品质量监督抽查服务，并按采购人规定时限和抽样产品服务要求规格价格要求不折不扣地完成中标数量（批次）抽样检验服务工作； （2）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（3） 承诺：运用陕西省市场监督管理局产品质量监督信息系统，按照《中华人民共和国产品质量法》《产品质量监督抽查管理暂行办法》《产品质量监督抽查委托协议》《产品质量监督抽查的通知》要求完成各项工作。 （4） 承诺：中标后在投标文件中所承诺的事宜未兑现，采购人在认定我单位失信行为后,有权解除所签订的技术服务协议，解除协议之前中所产生的费用采购人不予支付，由我单位自行承担。 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提供１个品目产品的描述的得1分，满分4分。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满分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防火门等21种产品质量监督抽查响应表(4包)</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防火门等21种产品质量监督抽查响应表(4包)》，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 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防火门等21种产品质量监督抽查响应表(4包)</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服务方案中需要对本项目的机构内部工作部署、抽样、样品接收及核查、检验、配合异议处理及复检的工作内容和安排、检验结果的处理、保密工作、检验结果数据追溯的实施等内容进行合理安排和制定。 评审标准：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（1）机构内部工作部署方案，满分6分；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（2）抽检服务方案，满分7分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（3）后期工作方案，满分6分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1.检验人员，满分6分 具有与检验检测、化学、质量、标准化等相关专业的中级（含）以上职称检验人员或具有10年（含）以上产品检验工作经历的人员数量≥8人，得6分； 具有与检验检测、化学、质量、标准化等相关专业的中级（含）以上职称检验人员或具有10年（含）以上产品检验工作经历的人员数量介于4（含）人-7（含）人之间的，得3分； 其余得0分。 2.抽样人员，满分6分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一、产业总体情况及质量现状分析方案，满分5分 产业总体情况及质量现状分析材料（方案中需要对全国及陕西产业分布情况、产业现状、产品的质量现状、应用前景和发展趋势进行分析）： 每有一项缺项内容扣1分，每有一处内容存在缺陷扣0.5分（缺陷是指： 存在不适用项目实际情况的情形、 凭空编造、前后不一致、前后逻辑 错误、涉及的规范及标准错误、套 用其他方案、只有简单描述无实质 性内容。 未提供不得分。 二、应急保障，满分4分 重点难点分析及应对措施，应急预案和紧急事件处置措施（涉及因素：人员、时间、距离、地域市场熟悉度）： 每有一项缺项内容扣1分，每有一处 内容存在缺陷扣0.5分（缺陷是指：存在不适用项目实际情况的情形、凭空编造、前后不一致、前后逻辑错误、涉及的规范及标准错误、套用其他方案、只有简单描述无实质性内容。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（1） 承诺：中标后我单位将在合同履约期限内随时服从采购人产品质量监督抽查工作部署，优先实施中标产品质量监督抽查服务，并按采购人规定时限和抽样产品服务要求规格价格要求不折不扣地完成中标数量（批次）抽样检验服务工作； （2）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（3） 承诺：运用陕西省市场监督管理局产品质量监督信息系统，按照《中华人民共和国产品质量法》《产品质量监督抽查管理暂行办法》《产品质量监督抽查委托协议》《产品质量监督抽查的通知》要求完成各项工作。 （4） 承诺：中标后在投标文件中所承诺的事宜未兑现，采购人在认定我单位失信行为后,有权解除所签订的技术服务协议，解除协议之前中所产生的费用采购人不予支付，由我单位自行承担。 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提供１个品目产品的描述的得1分，满分4分。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满分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抽检批次</w:t>
            </w:r>
          </w:p>
        </w:tc>
        <w:tc>
          <w:tcPr>
            <w:tcW w:type="dxa" w:w="2492"/>
          </w:tcPr>
          <w:p>
            <w:pPr>
              <w:pStyle w:val="null3"/>
            </w:pPr>
            <w:r>
              <w:rPr>
                <w:rFonts w:ascii="仿宋_GB2312" w:hAnsi="仿宋_GB2312" w:cs="仿宋_GB2312" w:eastAsia="仿宋_GB2312"/>
              </w:rPr>
              <w:t>总抽检批次得分=品目1总抽检批次得分×25%+品目2总抽检批次得分×25%+品目3总抽检批次得分×25%+品目4总抽检批次得分×25% 品目1抽检批次得分：P=10×Pn/Pmax 品目2抽检批次得分：P=10×Pn/Pmax 品目3抽检批次得分：P=10×Pn/Pmax 品目4抽检批次得分：P=10×Pn/Pmax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防火门等21种产品质量监督抽查响应表(5包)</w:t>
            </w:r>
          </w:p>
        </w:tc>
      </w:tr>
      <w:tr>
        <w:tc>
          <w:tcPr>
            <w:tcW w:type="dxa" w:w="831"/>
            <w:vMerge/>
          </w:tcPr>
          <w:p/>
        </w:tc>
        <w:tc>
          <w:tcPr>
            <w:tcW w:type="dxa" w:w="1661"/>
          </w:tcPr>
          <w:p>
            <w:pPr>
              <w:pStyle w:val="null3"/>
            </w:pPr>
            <w:r>
              <w:rPr>
                <w:rFonts w:ascii="仿宋_GB2312" w:hAnsi="仿宋_GB2312" w:cs="仿宋_GB2312" w:eastAsia="仿宋_GB2312"/>
              </w:rPr>
              <w:t>抽样检验周期</w:t>
            </w:r>
          </w:p>
        </w:tc>
        <w:tc>
          <w:tcPr>
            <w:tcW w:type="dxa" w:w="2492"/>
          </w:tcPr>
          <w:p>
            <w:pPr>
              <w:pStyle w:val="null3"/>
            </w:pPr>
            <w:r>
              <w:rPr>
                <w:rFonts w:ascii="仿宋_GB2312" w:hAnsi="仿宋_GB2312" w:cs="仿宋_GB2312" w:eastAsia="仿宋_GB2312"/>
              </w:rPr>
              <w:t>提供承诺并加盖公章的《防火门等21种产品质量监督抽查响应表(5包)》，以该包所有投标人平均抽样检验周期为“基准周期”，与“基准周期”前后相差2个工作日（含）内的，得5分；相差4个工作日（含）内的，得4分；相差6个工作日（含）内的，得3分；相差8个工作日（含）内的，得2分；相差10个工作日（含）内的，得1分；相差11个工作日（含）以上或《投标人产品抽样检验周期承诺表》相关数据不符合投标文件和相关标准要求的得0分。 如中标后在实际工作中，每超过《投标包产品抽样检验周期承诺表》中承诺抽样检验周期2天增加1批次抽检产品或扣除中标费0.5%，如超过4天，增加抽检2批次或扣2×0.5%的中标经费，依次累推。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防火门等21种产品质量监督抽查响应表(5包)</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服务方案中需要对本项目的机构内部工作部署、抽样、样品接收及核查、检验、配合异议处理及复检的工作内容和安排、检验结果的处理、保密工作、检验结果数据追溯的实施等内容进行合理安排和制定。 评审标准：抽样管理方面（针对该包产品，制定抽样和检验人员分离、抽样人员职责、抽样程序规范、合格样品确认、抽样证据留存、样品封存防拆封措施、样品运输、拒绝及终止抽样问题处理等符合《产品质量监督抽查管理暂行办法》（2019年市场监管总局18号令）第三章规定的抽样管理制度及监督抽查信息系统录入保障制度）、检验管理方面（针对该包产品，制定样品接收程序，接收人员职责，实施认证或许可产品样品生产者确认，实验室检验员、审核员、负责人职责，检验质量控制，检验报告出具程序规定，检验后的样品处置等符合《产品质量监督抽查管理暂行办法》（市场监管总局18号令）第四章规定的检验管理制度）、异议处理方面（本次监督抽查实施检验结果委托送达，针对投标产品，制定检验结果通知书制定、检验结果送达、检验结果快递跟踪、复检备样交接及检验费支付、终止复检情况报告、异议处理及结果报告、抽检信息保密等符合《产品质量监督抽查管理暂行办法》（市场监管总局18号令）第五章规定的管理制度。） （1）机构内部工作部署方案，满分6分； 方案编写贴近该产品实际抽查工作，要素完整，方案合理、可行，完全满足采购需求，得6分； 方案编写贴近该产品实际抽查工作，要素部分缺失，方案存在缺陷，部分满足招标文件要求，得4分； 方案要素不合理、不完整，难以满足招标文件要求的，得2分； 未提供相关内容，得0分。 （2）抽检服务方案，满分7分 抽检服务方案包括：抽样工作的具体内容及组织安排；样品接收及核查机制；检验工作的具体内容及要求。 方案编写贴近该产品实际抽查工作，要素完整，方案合理、可行，完全满足采购需求，得7分； 方案编写贴近该产品实际抽查工作，要素基本完整，存在缺陷，部分满足招标文件要求，得5分； 方案未响应、不完整，难以满足招标文件要求的，得3分； 未提供相关内容，得0分。 （3）后期工作方案，满分6分 后期工作方案包括：配合异议处理及复检的工作内容和安排；检验结果的处理。 方案编写贴近该产品实际抽查工作，要素完整，方案合理、可行，完全满足采购需求，得6分； 方案编写贴近该产品实际抽查工作，要素基本完整，存在缺陷，部分满足招标文件要求，得4分； 方案未响应、不完整，难以满足招标文件要求的，2分。 未提供相关内容，得0分。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能力建设</w:t>
            </w:r>
          </w:p>
        </w:tc>
        <w:tc>
          <w:tcPr>
            <w:tcW w:type="dxa" w:w="2492"/>
          </w:tcPr>
          <w:p>
            <w:pPr>
              <w:pStyle w:val="null3"/>
            </w:pPr>
            <w:r>
              <w:rPr>
                <w:rFonts w:ascii="仿宋_GB2312" w:hAnsi="仿宋_GB2312" w:cs="仿宋_GB2312" w:eastAsia="仿宋_GB2312"/>
              </w:rPr>
              <w:t>一、1.取得《中国合格评定国家认可委员会实验室认可证书》（CNAS）提供有效的认可证书复印件，并附官网查询截图（https://www.cnas.org.cn/）；2.2023年1月至今单位或单位工作人员(须提供聘任、任用证明材料)参加国家标准、行业标准、地方标准制定，提供已发布的标准文本扫描件(加盖单位公章)，或能提供证明投标单位在本标准文件起草单位名单之列或投标单位工作人员在本标准文件起草人名单之列；3.2024年1月至今单位或单位工作人员(须提供聘任、任用证明材料)参与国家、省、市各级科研计划项目，提供科研项目任务书(合同书)，或能提供证明投标单位或投标单位工作人员参与相关科研计划项目佐证材料的。CNAS、标准、科研三个项目，满足其中二项的得5分，满足其中一项的得3分。 二、提供检验项目比对表。具备所投产品的全部检验检测能力，供应商提供的有效资质认定证书（CMA）及附表扫描件，对相应检验项目、检验依据做好明显标记。具备所投包含产品所有全部检验检测能力的，得10分，有缺项的，按品目计算每涉及一品目产品扣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人员配备数量</w:t>
            </w:r>
          </w:p>
        </w:tc>
        <w:tc>
          <w:tcPr>
            <w:tcW w:type="dxa" w:w="2492"/>
          </w:tcPr>
          <w:p>
            <w:pPr>
              <w:pStyle w:val="null3"/>
            </w:pPr>
            <w:r>
              <w:rPr>
                <w:rFonts w:ascii="仿宋_GB2312" w:hAnsi="仿宋_GB2312" w:cs="仿宋_GB2312" w:eastAsia="仿宋_GB2312"/>
              </w:rPr>
              <w:t>提供职称证、人员身份证以及2025年至今任意三个月养老证明等证明材料。 根据供应商拟投入本项目的人员数量及相关行业职称水平赋分 1.检验人员，满分6分 具有与检验检测、化学、质量、标准化等相关专业的中级（含）以上职称检验人员或具有10年（含）以上产品检验工作经历的人员数量≥8人，得6分； 具有与检验检测、化学、质量、标准化等相关专业的中级（含）以上职称检验人员或具有10年（含）以上产品检验工作经历的人员数量介于4（含）人-7（含）人之间的，得3分； 其余得0分。 2.抽样人员，满分6分 抽样人员数量≥6人，得6分； 抽样人员数量介于4（含）人-6（不含）人之间的得3分； 其余得0分。 （检验人员需提供劳动合同、参保证明材料、职称证书或10年（含）以上产品检验证明材料等相关证明材料；抽样人员需提供劳动合同、参保证明材料） 二、提供人员职称证书证书和任用证明等证明材料。 项目负责人 该包产品的抽检工作项目负责人（即投标委托人同时负责该产品中标后服务），具有10年（含）以上检验工作经历和副高级职称，得3分；具有10年（含）以上检验工作经历或副高级职称，得2分；否则得0分。 （项目负责人需提供劳动合同、参保证明材料、职称证书、10年（含）以上检验工作经历证明材料）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项目实验室场所和设备配置</w:t>
            </w:r>
          </w:p>
        </w:tc>
        <w:tc>
          <w:tcPr>
            <w:tcW w:type="dxa" w:w="2492"/>
          </w:tcPr>
          <w:p>
            <w:pPr>
              <w:pStyle w:val="null3"/>
            </w:pPr>
            <w:r>
              <w:rPr>
                <w:rFonts w:ascii="仿宋_GB2312" w:hAnsi="仿宋_GB2312" w:cs="仿宋_GB2312" w:eastAsia="仿宋_GB2312"/>
              </w:rPr>
              <w:t>一、有满足投标包内同类产品检测实验室、产品项目检验室。提供该包产品《实验室情况介绍》《产品项目实验室场所表》、厂房所有权证（复印件）或房屋租赁合同材料，产品项目检验需求全部满足，佐证材料齐全并承诺真实的得3分，否则得0分。 二、提供《拟投入本项目的主要设备配置表》，并提供现场照片、采购发票（或能证明设备为自主拥有的其他有效单据）等佐证材料；具备所投包含产品所有全部检验检测能力及配置设备无缺失的，得8分，有缺失的或无法提供佐证材料的，按品目计算每涉及一品目产品扣2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产品质量分析及应急保障</w:t>
            </w:r>
          </w:p>
        </w:tc>
        <w:tc>
          <w:tcPr>
            <w:tcW w:type="dxa" w:w="2492"/>
          </w:tcPr>
          <w:p>
            <w:pPr>
              <w:pStyle w:val="null3"/>
            </w:pPr>
            <w:r>
              <w:rPr>
                <w:rFonts w:ascii="仿宋_GB2312" w:hAnsi="仿宋_GB2312" w:cs="仿宋_GB2312" w:eastAsia="仿宋_GB2312"/>
              </w:rPr>
              <w:t>一、产业总体情况及质量现状分析方案，满分5分 产业总体情况及质量现状分析材料（方案中需要对全国及陕西产业分布情况、产业现状、产品的质量现状、应用前景和发展趋势进行分析）： 每有一项缺项内容扣1分，每有一处内容存在缺陷扣0.5分（缺陷是指： 存在不适用项目实际情况的情形、 凭空编造、前后不一致、前后逻辑 错误、涉及的规范及标准错误、套 用其他方案、只有简单描述无实质 性内容。 未提供不得分。 二、应急保障，满分4分 重点难点分析及应对措施，应急预案和紧急事件处置措施（涉及因素：人员、时间、距离、地域市场熟悉度）： 每有一项缺项内容扣1分，每有一处 内容存在缺陷扣0.5分（缺陷是指：存在不适用项目实际情况的情形、凭空编造、前后不一致、前后逻辑错误、涉及的规范及标准错误、套用其他方案、只有简单描述无实质性内容。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（1） 承诺：中标后我单位将在合同履约期限内随时服从采购人产品质量监督抽查工作部署，优先实施中标产品质量监督抽查服务，并按采购人规定时限和抽样产品服务要求规格价格要求不折不扣地完成中标数量（批次）抽样检验服务工作； （2） 承诺：中标后能达到监督抽查抽样、检验全过程可视化；自行准备录像设备、笔记本（平板）电脑、便携彩色打印机、包装缠绕膜、宽胶带等抽样所需的相关设备材料，确定一名人员，熟悉《陕西省市场监督管理局产品质量监督抽查工作手册》和抽查流程,督促承检工作和保障抽查系统信息正常运行。 （3） 承诺：运用陕西省市场监督管理局产品质量监督信息系统，按照《中华人民共和国产品质量法》《产品质量监督抽查管理暂行办法》《产品质量监督抽查委托协议》《产品质量监督抽查的通知》要求完成各项工作。 （4） 承诺：中标后在投标文件中所承诺的事宜未兑现，采购人在认定我单位失信行为后,有权解除所签订的技术服务协议，解除协议之前中所产生的费用采购人不予支付，由我单位自行承担。 以上4项独立的符合要求的加盖公章的服务承诺书。每提供１项的得1分，共4分。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业务能力与业绩状况</w:t>
            </w:r>
          </w:p>
        </w:tc>
        <w:tc>
          <w:tcPr>
            <w:tcW w:type="dxa" w:w="2492"/>
          </w:tcPr>
          <w:p>
            <w:pPr>
              <w:pStyle w:val="null3"/>
            </w:pPr>
            <w:r>
              <w:rPr>
                <w:rFonts w:ascii="仿宋_GB2312" w:hAnsi="仿宋_GB2312" w:cs="仿宋_GB2312" w:eastAsia="仿宋_GB2312"/>
              </w:rPr>
              <w:t>一、对各品目产品主要检验项目如质量不合格可能引发的情况进行描述。 提供１个品目产品的描述的得1分，满分4分。 二、供应商提供2024年1月至今类似抽检品目业绩（1.承担市级及以上认证部门有效性抽查、2.承担市级及以上质量监督部门的质量监督抽查或风险监测，以完整合同（协议）或委托书复印件加盖公章及签订时间为准。每提供1份得2分（同一品目可累积得分），满分8分；未提供相关内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详见附件：防火门等21种产品质量监督抽查响应表(1包)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详见附件：防火门等21种产品质量监督抽查响应表(2包)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详见附件：防火门等21种产品质量监督抽查响应表(3包)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详见附件：防火门等21种产品质量监督抽查响应表(4包)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详见附件：防火门等21种产品质量监督抽查响应表(5包)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