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版本号：ZXZB-CG2026-20620260414002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醇基液体燃料等20种产品质量监督抽查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ZXZB-CG2026-206</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陕西中信项目咨询有限公司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陕西中信项目咨询有限公司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醇基液体燃料等20种产品质量监督抽查</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ZXZB-CG2026-206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醇基液体燃料等20种产品质量监督抽查</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醇基液体燃料等20种产品质量监督抽查</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2024年或2025年完整的财务审计报告（审计报告需上传至注册会计师行业统一监管平台并申请赋码），或投标截止时间前六个月内公司基本账户开户银行出具的资信证明（附基本存款账户信息），其他组织和自然人提供银行出具的资信证明。</w:t>
      </w:r>
    </w:p>
    <w:p>
      <w:pPr>
        <w:pStyle w:val="null3"/>
      </w:pPr>
      <w:r>
        <w:rPr>
          <w:rFonts w:ascii="仿宋_GB2312" w:hAnsi="仿宋_GB2312" w:cs="仿宋_GB2312" w:eastAsia="仿宋_GB2312"/>
        </w:rPr>
        <w:t>3、具有履行合同所必需的设备和专业技术能力：提供具有履行合同所必需的设备和专业技术能力的承诺书。</w:t>
      </w:r>
    </w:p>
    <w:p>
      <w:pPr>
        <w:pStyle w:val="null3"/>
      </w:pPr>
      <w:r>
        <w:rPr>
          <w:rFonts w:ascii="仿宋_GB2312" w:hAnsi="仿宋_GB2312" w:cs="仿宋_GB2312" w:eastAsia="仿宋_GB2312"/>
        </w:rPr>
        <w:t>4、有依法缴纳税收的良好记录：提供2025年3月至今已缴纳的至少一个月的纳税证明或完税证明，依法免税的单位应提供相关证明材料。</w:t>
      </w:r>
    </w:p>
    <w:p>
      <w:pPr>
        <w:pStyle w:val="null3"/>
      </w:pPr>
      <w:r>
        <w:rPr>
          <w:rFonts w:ascii="仿宋_GB2312" w:hAnsi="仿宋_GB2312" w:cs="仿宋_GB2312" w:eastAsia="仿宋_GB2312"/>
        </w:rPr>
        <w:t>5、有依法缴纳社会保障资金的良好记录：提供2025年3月至今已缴存的至少一个月的社会保障资金缴存单据或社保机构开具的社会保险参保缴费情况证明，依法不需要缴纳社会保障资金的单位应提供相关证明材料。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p>
      <w:pPr>
        <w:pStyle w:val="null3"/>
      </w:pPr>
      <w:r>
        <w:rPr>
          <w:rFonts w:ascii="仿宋_GB2312" w:hAnsi="仿宋_GB2312" w:cs="仿宋_GB2312" w:eastAsia="仿宋_GB2312"/>
        </w:rPr>
        <w:t>7、法定代表人（主要负责人）授权委托书/身份证明：法定代表人参与投标时，提供法定代表人身份证明；授权代表参与投标时，提供法人授权委托书。</w:t>
      </w:r>
    </w:p>
    <w:p>
      <w:pPr>
        <w:pStyle w:val="null3"/>
      </w:pPr>
      <w:r>
        <w:rPr>
          <w:rFonts w:ascii="仿宋_GB2312" w:hAnsi="仿宋_GB2312" w:cs="仿宋_GB2312" w:eastAsia="仿宋_GB2312"/>
        </w:rPr>
        <w:t>8、其他要求：本项目不接受从事承检产品生产、经营活动的供应商参与投标，供应商须提供相关声明。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2024年或2025年完整的财务审计报告（审计报告需上传至注册会计师行业统一监管平台并申请赋码），或投标截止时间前六个月内公司基本账户开户银行出具的资信证明（附基本存款账户信息），其他组织和自然人提供银行出具的资信证明。</w:t>
      </w:r>
    </w:p>
    <w:p>
      <w:pPr>
        <w:pStyle w:val="null3"/>
      </w:pPr>
      <w:r>
        <w:rPr>
          <w:rFonts w:ascii="仿宋_GB2312" w:hAnsi="仿宋_GB2312" w:cs="仿宋_GB2312" w:eastAsia="仿宋_GB2312"/>
        </w:rPr>
        <w:t>3、具有履行合同所必需的设备和专业技术能力：提供具有履行合同所必需的设备和专业技术能力的承诺书。</w:t>
      </w:r>
    </w:p>
    <w:p>
      <w:pPr>
        <w:pStyle w:val="null3"/>
      </w:pPr>
      <w:r>
        <w:rPr>
          <w:rFonts w:ascii="仿宋_GB2312" w:hAnsi="仿宋_GB2312" w:cs="仿宋_GB2312" w:eastAsia="仿宋_GB2312"/>
        </w:rPr>
        <w:t>4、有依法缴纳税收的良好记录：提供2025年3月至今已缴纳的至少一个月的纳税证明或完税证明，依法免税的单位应提供相关证明材料。</w:t>
      </w:r>
    </w:p>
    <w:p>
      <w:pPr>
        <w:pStyle w:val="null3"/>
      </w:pPr>
      <w:r>
        <w:rPr>
          <w:rFonts w:ascii="仿宋_GB2312" w:hAnsi="仿宋_GB2312" w:cs="仿宋_GB2312" w:eastAsia="仿宋_GB2312"/>
        </w:rPr>
        <w:t>5、有依法缴纳社会保障资金的良好记录：提供2025年3月至今已缴存的至少一个月的社会保障资金缴存单据或社保机构开具的社会保险参保缴费情况证明，依法不需要缴纳社会保障资金的单位应提供相关证明材料。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p>
      <w:pPr>
        <w:pStyle w:val="null3"/>
      </w:pPr>
      <w:r>
        <w:rPr>
          <w:rFonts w:ascii="仿宋_GB2312" w:hAnsi="仿宋_GB2312" w:cs="仿宋_GB2312" w:eastAsia="仿宋_GB2312"/>
        </w:rPr>
        <w:t>7、法定代表人（主要负责人）授权委托书/身份证明：法定代表人参与投标时，提供法定代表人身份证明；授权代表参与投标时，提供法人授权委托书。</w:t>
      </w:r>
    </w:p>
    <w:p>
      <w:pPr>
        <w:pStyle w:val="null3"/>
      </w:pPr>
      <w:r>
        <w:rPr>
          <w:rFonts w:ascii="仿宋_GB2312" w:hAnsi="仿宋_GB2312" w:cs="仿宋_GB2312" w:eastAsia="仿宋_GB2312"/>
        </w:rPr>
        <w:t>8、其他要求：本项目不接受从事承检产品生产、经营活动的供应商参与投标，供应商须提供相关声明。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2024年或2025年完整的财务审计报告（审计报告需上传至注册会计师行业统一监管平台并申请赋码），或投标截止时间前六个月内公司基本账户开户银行出具的资信证明（附基本存款账户信息），其他组织和自然人提供银行出具的资信证明。</w:t>
      </w:r>
    </w:p>
    <w:p>
      <w:pPr>
        <w:pStyle w:val="null3"/>
      </w:pPr>
      <w:r>
        <w:rPr>
          <w:rFonts w:ascii="仿宋_GB2312" w:hAnsi="仿宋_GB2312" w:cs="仿宋_GB2312" w:eastAsia="仿宋_GB2312"/>
        </w:rPr>
        <w:t>3、具有履行合同所必需的设备和专业技术能力：提供具有履行合同所必需的设备和专业技术能力的承诺书。</w:t>
      </w:r>
    </w:p>
    <w:p>
      <w:pPr>
        <w:pStyle w:val="null3"/>
      </w:pPr>
      <w:r>
        <w:rPr>
          <w:rFonts w:ascii="仿宋_GB2312" w:hAnsi="仿宋_GB2312" w:cs="仿宋_GB2312" w:eastAsia="仿宋_GB2312"/>
        </w:rPr>
        <w:t>4、有依法缴纳税收的良好记录：提供2025年3月至今已缴纳的至少一个月的纳税证明或完税证明，依法免税的单位应提供相关证明材料。</w:t>
      </w:r>
    </w:p>
    <w:p>
      <w:pPr>
        <w:pStyle w:val="null3"/>
      </w:pPr>
      <w:r>
        <w:rPr>
          <w:rFonts w:ascii="仿宋_GB2312" w:hAnsi="仿宋_GB2312" w:cs="仿宋_GB2312" w:eastAsia="仿宋_GB2312"/>
        </w:rPr>
        <w:t>5、有依法缴纳社会保障资金的良好记录：提供2025年3月至今已缴存的至少一个月的社会保障资金缴存单据或社保机构开具的社会保险参保缴费情况证明，依法不需要缴纳社会保障资金的单位应提供相关证明材料。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p>
      <w:pPr>
        <w:pStyle w:val="null3"/>
      </w:pPr>
      <w:r>
        <w:rPr>
          <w:rFonts w:ascii="仿宋_GB2312" w:hAnsi="仿宋_GB2312" w:cs="仿宋_GB2312" w:eastAsia="仿宋_GB2312"/>
        </w:rPr>
        <w:t>7、法定代表人（主要负责人）授权委托书/身份证明：法定代表人参与投标时，提供法定代表人身份证明；授权代表参与投标时，提供法人授权委托书。</w:t>
      </w:r>
    </w:p>
    <w:p>
      <w:pPr>
        <w:pStyle w:val="null3"/>
      </w:pPr>
      <w:r>
        <w:rPr>
          <w:rFonts w:ascii="仿宋_GB2312" w:hAnsi="仿宋_GB2312" w:cs="仿宋_GB2312" w:eastAsia="仿宋_GB2312"/>
        </w:rPr>
        <w:t>8、其他要求：本项目不接受从事承检产品生产、经营活动的供应商参与投标，供应商须提供相关声明。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2024年或2025年完整的财务审计报告（审计报告需上传至注册会计师行业统一监管平台并申请赋码），或投标截止时间前六个月内公司基本账户开户银行出具的资信证明（附基本存款账户信息），其他组织和自然人提供银行出具的资信证明。</w:t>
      </w:r>
    </w:p>
    <w:p>
      <w:pPr>
        <w:pStyle w:val="null3"/>
      </w:pPr>
      <w:r>
        <w:rPr>
          <w:rFonts w:ascii="仿宋_GB2312" w:hAnsi="仿宋_GB2312" w:cs="仿宋_GB2312" w:eastAsia="仿宋_GB2312"/>
        </w:rPr>
        <w:t>3、具有履行合同所必需的设备和专业技术能力：提供具有履行合同所必需的设备和专业技术能力的承诺书。</w:t>
      </w:r>
    </w:p>
    <w:p>
      <w:pPr>
        <w:pStyle w:val="null3"/>
      </w:pPr>
      <w:r>
        <w:rPr>
          <w:rFonts w:ascii="仿宋_GB2312" w:hAnsi="仿宋_GB2312" w:cs="仿宋_GB2312" w:eastAsia="仿宋_GB2312"/>
        </w:rPr>
        <w:t>4、有依法缴纳税收的良好记录：提供2025年3月至今已缴纳的至少一个月的纳税证明或完税证明，依法免税的单位应提供相关证明材料。</w:t>
      </w:r>
    </w:p>
    <w:p>
      <w:pPr>
        <w:pStyle w:val="null3"/>
      </w:pPr>
      <w:r>
        <w:rPr>
          <w:rFonts w:ascii="仿宋_GB2312" w:hAnsi="仿宋_GB2312" w:cs="仿宋_GB2312" w:eastAsia="仿宋_GB2312"/>
        </w:rPr>
        <w:t>5、有依法缴纳社会保障资金的良好记录：提供2025年3月至今已缴存的至少一个月的社会保障资金缴存单据或社保机构开具的社会保险参保缴费情况证明，依法不需要缴纳社会保障资金的单位应提供相关证明材料。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p>
      <w:pPr>
        <w:pStyle w:val="null3"/>
      </w:pPr>
      <w:r>
        <w:rPr>
          <w:rFonts w:ascii="仿宋_GB2312" w:hAnsi="仿宋_GB2312" w:cs="仿宋_GB2312" w:eastAsia="仿宋_GB2312"/>
        </w:rPr>
        <w:t>7、法定代表人（主要负责人）授权委托书/身份证明：法定代表人参与投标时，提供法定代表人身份证明；授权代表参与投标时，提供法人授权委托书。</w:t>
      </w:r>
    </w:p>
    <w:p>
      <w:pPr>
        <w:pStyle w:val="null3"/>
      </w:pPr>
      <w:r>
        <w:rPr>
          <w:rFonts w:ascii="仿宋_GB2312" w:hAnsi="仿宋_GB2312" w:cs="仿宋_GB2312" w:eastAsia="仿宋_GB2312"/>
        </w:rPr>
        <w:t>8、其他要求：本项目不接受从事承检产品生产、经营活动的供应商参与投标，供应商须提供相关声明。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2024年或2025年完整的财务审计报告（审计报告需上传至注册会计师行业统一监管平台并申请赋码），或投标截止时间前六个月内公司基本账户开户银行出具的资信证明（附基本存款账户信息），其他组织和自然人提供银行出具的资信证明。</w:t>
      </w:r>
    </w:p>
    <w:p>
      <w:pPr>
        <w:pStyle w:val="null3"/>
      </w:pPr>
      <w:r>
        <w:rPr>
          <w:rFonts w:ascii="仿宋_GB2312" w:hAnsi="仿宋_GB2312" w:cs="仿宋_GB2312" w:eastAsia="仿宋_GB2312"/>
        </w:rPr>
        <w:t>3、具有履行合同所必需的设备和专业技术能力：提供具有履行合同所必需的设备和专业技术能力的承诺书。</w:t>
      </w:r>
    </w:p>
    <w:p>
      <w:pPr>
        <w:pStyle w:val="null3"/>
      </w:pPr>
      <w:r>
        <w:rPr>
          <w:rFonts w:ascii="仿宋_GB2312" w:hAnsi="仿宋_GB2312" w:cs="仿宋_GB2312" w:eastAsia="仿宋_GB2312"/>
        </w:rPr>
        <w:t>4、有依法缴纳税收的良好记录：提供2025年3月至今已缴纳的至少一个月的纳税证明或完税证明，依法免税的单位应提供相关证明材料。</w:t>
      </w:r>
    </w:p>
    <w:p>
      <w:pPr>
        <w:pStyle w:val="null3"/>
      </w:pPr>
      <w:r>
        <w:rPr>
          <w:rFonts w:ascii="仿宋_GB2312" w:hAnsi="仿宋_GB2312" w:cs="仿宋_GB2312" w:eastAsia="仿宋_GB2312"/>
        </w:rPr>
        <w:t>5、有依法缴纳社会保障资金的良好记录：提供2025年3月至今已缴存的至少一个月的社会保障资金缴存单据或社保机构开具的社会保险参保缴费情况证明，依法不需要缴纳社会保障资金的单位应提供相关证明材料。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p>
      <w:pPr>
        <w:pStyle w:val="null3"/>
      </w:pPr>
      <w:r>
        <w:rPr>
          <w:rFonts w:ascii="仿宋_GB2312" w:hAnsi="仿宋_GB2312" w:cs="仿宋_GB2312" w:eastAsia="仿宋_GB2312"/>
        </w:rPr>
        <w:t>7、法定代表人（主要负责人）授权委托书/身份证明：法定代表人参与投标时，提供法定代表人身份证明；授权代表参与投标时，提供法人授权委托书。</w:t>
      </w:r>
    </w:p>
    <w:p>
      <w:pPr>
        <w:pStyle w:val="null3"/>
      </w:pPr>
      <w:r>
        <w:rPr>
          <w:rFonts w:ascii="仿宋_GB2312" w:hAnsi="仿宋_GB2312" w:cs="仿宋_GB2312" w:eastAsia="仿宋_GB2312"/>
        </w:rPr>
        <w:t>8、其他要求：本项目不接受从事承检产品生产、经营活动的供应商参与投标，供应商须提供相关声明。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029-86138662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陕西省西安市碑林区陕西省西安市碑林区和平路71号综合楼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孔仙、贾雅楠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029-87216602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采购包1：411,465.20元</w:t>
            </w:r>
          </w:p>
          <w:p>
            <w:pPr>
              <w:pStyle w:val="null3"/>
            </w:pPr>
            <w:r>
              <w:rPr>
                <w:rFonts w:ascii="仿宋_GB2312" w:hAnsi="仿宋_GB2312" w:cs="仿宋_GB2312" w:eastAsia="仿宋_GB2312"/>
              </w:rPr>
              <w:t>采购包2：422,150.00元</w:t>
            </w:r>
          </w:p>
          <w:p>
            <w:pPr>
              <w:pStyle w:val="null3"/>
            </w:pPr>
            <w:r>
              <w:rPr>
                <w:rFonts w:ascii="仿宋_GB2312" w:hAnsi="仿宋_GB2312" w:cs="仿宋_GB2312" w:eastAsia="仿宋_GB2312"/>
              </w:rPr>
              <w:t>采购包3：450,000.00元</w:t>
            </w:r>
          </w:p>
          <w:p>
            <w:pPr>
              <w:pStyle w:val="null3"/>
            </w:pPr>
            <w:r>
              <w:rPr>
                <w:rFonts w:ascii="仿宋_GB2312" w:hAnsi="仿宋_GB2312" w:cs="仿宋_GB2312" w:eastAsia="仿宋_GB2312"/>
              </w:rPr>
              <w:t>采购包4：395,000.00元</w:t>
            </w:r>
          </w:p>
          <w:p>
            <w:pPr>
              <w:pStyle w:val="null3"/>
            </w:pPr>
            <w:r>
              <w:rPr>
                <w:rFonts w:ascii="仿宋_GB2312" w:hAnsi="仿宋_GB2312" w:cs="仿宋_GB2312" w:eastAsia="仿宋_GB2312"/>
              </w:rPr>
              <w:t>采购包5：596,000.00元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代理服务费收费标准：代理服务费的收取参照《国家计委关于印发&lt;招标代理服务收费管理暂行办法&gt;的通知》（计价格[2002]1980 号）和《国家发展改革委办公厅关于招标代理服务收费有关问题的通知》（发改办价格[2003]857 号）规定标准收取，不足 8000 元的按 8000 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陕西中信项目咨询有限公司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1）验收组织方式：自行验收 2）是否邀请本项目的其他供应商：否 3）是否邀请专家：否 4）是否邀请服务对象：否 5）是否邀请第三方检测机构：否 6）履约验收程序：一次性验收 7）履约验收时间： 供应商提出验收申请之日起10日内组织验收。 8）验收组织的其他事项：/ 9）技术履约验收内容：详见“技术参数与性能指标”。 10）商务履约验收内容：详见采购文件“商务要求”。 11）履约验收标准：以采购文件及合同约定为准。验收依据:合同文本，招标文件，招标响应文件，供应商所出具的检验报告满足国家或行业规范执行标准。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1）验收组织方式：自行验收 2）是否邀请本项目的其他供应商：否 3）是否邀请专家：否 4）是否邀请服务对象：否 5）是否邀请第三方检测机构：否 6）履约验收程序：一次性验收 7）履约验收时间： 供应商提出验收申请之日起10日内组织验收。 8）验收组织的其他事项：/ 9）技术履约验收内容：详见“技术参数与性能指标”。 10）商务履约验收内容：详见采购文件“商务要求”。 11）履约验收标准：以采购文件及合同约定为准。验收依据:合同文本，招标文件，招标响应文件，供应商所出具的检验报告满足国家或行业规范执行标准。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1）验收组织方式：自行验收 2）是否邀请本项目的其他供应商：否 3）是否邀请专家：否 4）是否邀请服务对象：否 5）是否邀请第三方检测机构：否 6）履约验收程序：一次性验收 7）履约验收时间： 供应商提出验收申请之日起10日内组织验收。 8）验收组织的其他事项：/ 9）技术履约验收内容：详见“技术参数与性能指标”。 10）商务履约验收内容：详见采购文件“商务要求”。 11）履约验收标准：以采购文件及合同约定为准。验收依据:合同文本，招标文件，招标响应文件，供应商所出具的检验报告满足国家或行业规范执行标准。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1）验收组织方式：自行验收 2）是否邀请本项目的其他供应商：否 3）是否邀请专家：否 4）是否邀请服务对象：否 5）是否邀请第三方检测机构：否 6）履约验收程序：一次性验收 7）履约验收时间： 供应商提出验收申请之日起10日内组织验收。 8）验收组织的其他事项：/ 9）技术履约验收内容：详见“技术参数与性能指标”。 10）商务履约验收内容：详见采购文件“商务要求”。 11）履约验收标准：以采购文件及合同约定为准。验收依据:合同文本，招标文件，招标响应文件，供应商所出具的检验报告满足国家或行业规范执行标准。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1）验收组织方式：自行验收 2）是否邀请本项目的其他供应商：否 3）是否邀请专家：否 4）是否邀请服务对象：否 5）是否邀请第三方检测机构：否 6）履约验收程序：一次性验收 7）履约验收时间： 供应商提出验收申请之日起10日内组织验收。 8）验收组织的其他事项：/ 9）技术履约验收内容：详见“技术参数与性能指标”。 10）商务履约验收内容：详见采购文件“商务要求”。 11）履约验收标准：以采购文件及合同约定为准。验收依据:合同文本，招标文件，招标响应文件，供应商所出具的检验报告满足国家或行业规范执行标准。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联系人：孔仙、贾雅楠</w:t>
      </w:r>
    </w:p>
    <w:p>
      <w:pPr>
        <w:pStyle w:val="null3"/>
      </w:pPr>
      <w:r>
        <w:rPr>
          <w:rFonts w:ascii="仿宋_GB2312" w:hAnsi="仿宋_GB2312" w:cs="仿宋_GB2312" w:eastAsia="仿宋_GB2312"/>
        </w:rPr>
        <w:t>联系电话：029-87216602、18778673762</w:t>
      </w:r>
    </w:p>
    <w:p>
      <w:pPr>
        <w:pStyle w:val="null3"/>
      </w:pPr>
      <w:r>
        <w:rPr>
          <w:rFonts w:ascii="仿宋_GB2312" w:hAnsi="仿宋_GB2312" w:cs="仿宋_GB2312" w:eastAsia="仿宋_GB2312"/>
        </w:rPr>
        <w:t>地址：陕西省西安市碑林区和平路 71 号综合楼 5 楼 505 室</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醇基液体燃料等20种产品质量监督抽查。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411,465.20</w:t>
      </w:r>
    </w:p>
    <w:p>
      <w:pPr>
        <w:pStyle w:val="null3"/>
      </w:pPr>
      <w:r>
        <w:rPr>
          <w:rFonts w:ascii="仿宋_GB2312" w:hAnsi="仿宋_GB2312" w:cs="仿宋_GB2312" w:eastAsia="仿宋_GB2312"/>
        </w:rPr>
        <w:t>采购包最高限价（元）: 411,465.20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醇基液体燃料等4种产品质量监督抽查</w:t>
            </w:r>
          </w:p>
        </w:tc>
        <w:tc>
          <w:tcPr>
            <w:tcW w:type="dxa" w:w="831"/>
          </w:tcPr>
          <w:p>
            <w:pPr>
              <w:pStyle w:val="null3"/>
              <w:jc w:val="right"/>
            </w:pPr>
            <w:r>
              <w:rPr>
                <w:rFonts w:ascii="仿宋_GB2312" w:hAnsi="仿宋_GB2312" w:cs="仿宋_GB2312" w:eastAsia="仿宋_GB2312"/>
              </w:rPr>
              <w:t>160.00</w:t>
            </w:r>
          </w:p>
        </w:tc>
        <w:tc>
          <w:tcPr>
            <w:tcW w:type="dxa" w:w="831"/>
          </w:tcPr>
          <w:p>
            <w:pPr>
              <w:pStyle w:val="null3"/>
              <w:jc w:val="right"/>
            </w:pPr>
            <w:r>
              <w:rPr>
                <w:rFonts w:ascii="仿宋_GB2312" w:hAnsi="仿宋_GB2312" w:cs="仿宋_GB2312" w:eastAsia="仿宋_GB2312"/>
              </w:rPr>
              <w:t>411,465.20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422,150.00</w:t>
      </w:r>
    </w:p>
    <w:p>
      <w:pPr>
        <w:pStyle w:val="null3"/>
      </w:pPr>
      <w:r>
        <w:rPr>
          <w:rFonts w:ascii="仿宋_GB2312" w:hAnsi="仿宋_GB2312" w:cs="仿宋_GB2312" w:eastAsia="仿宋_GB2312"/>
        </w:rPr>
        <w:t>采购包最高限价（元）: 422,150.00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油墨等5种产品质量监督抽查</w:t>
            </w:r>
          </w:p>
        </w:tc>
        <w:tc>
          <w:tcPr>
            <w:tcW w:type="dxa" w:w="831"/>
          </w:tcPr>
          <w:p>
            <w:pPr>
              <w:pStyle w:val="null3"/>
              <w:jc w:val="right"/>
            </w:pPr>
            <w:r>
              <w:rPr>
                <w:rFonts w:ascii="仿宋_GB2312" w:hAnsi="仿宋_GB2312" w:cs="仿宋_GB2312" w:eastAsia="仿宋_GB2312"/>
              </w:rPr>
              <w:t>160.00</w:t>
            </w:r>
          </w:p>
        </w:tc>
        <w:tc>
          <w:tcPr>
            <w:tcW w:type="dxa" w:w="831"/>
          </w:tcPr>
          <w:p>
            <w:pPr>
              <w:pStyle w:val="null3"/>
              <w:jc w:val="right"/>
            </w:pPr>
            <w:r>
              <w:rPr>
                <w:rFonts w:ascii="仿宋_GB2312" w:hAnsi="仿宋_GB2312" w:cs="仿宋_GB2312" w:eastAsia="仿宋_GB2312"/>
              </w:rPr>
              <w:t>422,150.00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烟花爆竹等3种产品质量监督抽查</w:t>
            </w:r>
          </w:p>
        </w:tc>
        <w:tc>
          <w:tcPr>
            <w:tcW w:type="dxa" w:w="831"/>
          </w:tcPr>
          <w:p>
            <w:pPr>
              <w:pStyle w:val="null3"/>
              <w:jc w:val="right"/>
            </w:pPr>
            <w:r>
              <w:rPr>
                <w:rFonts w:ascii="仿宋_GB2312" w:hAnsi="仿宋_GB2312" w:cs="仿宋_GB2312" w:eastAsia="仿宋_GB2312"/>
              </w:rPr>
              <w:t>160.00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395,000.00</w:t>
      </w:r>
    </w:p>
    <w:p>
      <w:pPr>
        <w:pStyle w:val="null3"/>
      </w:pPr>
      <w:r>
        <w:rPr>
          <w:rFonts w:ascii="仿宋_GB2312" w:hAnsi="仿宋_GB2312" w:cs="仿宋_GB2312" w:eastAsia="仿宋_GB2312"/>
        </w:rPr>
        <w:t>采购包最高限价（元）: 395,000.00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劳动防护用品口罩类等4类产品质量监督抽查</w:t>
            </w:r>
          </w:p>
        </w:tc>
        <w:tc>
          <w:tcPr>
            <w:tcW w:type="dxa" w:w="831"/>
          </w:tcPr>
          <w:p>
            <w:pPr>
              <w:pStyle w:val="null3"/>
              <w:jc w:val="right"/>
            </w:pPr>
            <w:r>
              <w:rPr>
                <w:rFonts w:ascii="仿宋_GB2312" w:hAnsi="仿宋_GB2312" w:cs="仿宋_GB2312" w:eastAsia="仿宋_GB2312"/>
              </w:rPr>
              <w:t>120.00</w:t>
            </w:r>
          </w:p>
        </w:tc>
        <w:tc>
          <w:tcPr>
            <w:tcW w:type="dxa" w:w="831"/>
          </w:tcPr>
          <w:p>
            <w:pPr>
              <w:pStyle w:val="null3"/>
              <w:jc w:val="right"/>
            </w:pPr>
            <w:r>
              <w:rPr>
                <w:rFonts w:ascii="仿宋_GB2312" w:hAnsi="仿宋_GB2312" w:cs="仿宋_GB2312" w:eastAsia="仿宋_GB2312"/>
              </w:rPr>
              <w:t>395,000.00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596,000.00</w:t>
      </w:r>
    </w:p>
    <w:p>
      <w:pPr>
        <w:pStyle w:val="null3"/>
      </w:pPr>
      <w:r>
        <w:rPr>
          <w:rFonts w:ascii="仿宋_GB2312" w:hAnsi="仿宋_GB2312" w:cs="仿宋_GB2312" w:eastAsia="仿宋_GB2312"/>
        </w:rPr>
        <w:t>采购包最高限价（元）: 596,000.00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泵（潜水电泵）等4种产品质量监督抽查</w:t>
            </w:r>
          </w:p>
        </w:tc>
        <w:tc>
          <w:tcPr>
            <w:tcW w:type="dxa" w:w="831"/>
          </w:tcPr>
          <w:p>
            <w:pPr>
              <w:pStyle w:val="null3"/>
              <w:jc w:val="right"/>
            </w:pPr>
            <w:r>
              <w:rPr>
                <w:rFonts w:ascii="仿宋_GB2312" w:hAnsi="仿宋_GB2312" w:cs="仿宋_GB2312" w:eastAsia="仿宋_GB2312"/>
              </w:rPr>
              <w:t>74.00</w:t>
            </w:r>
          </w:p>
        </w:tc>
        <w:tc>
          <w:tcPr>
            <w:tcW w:type="dxa" w:w="831"/>
          </w:tcPr>
          <w:p>
            <w:pPr>
              <w:pStyle w:val="null3"/>
              <w:jc w:val="right"/>
            </w:pPr>
            <w:r>
              <w:rPr>
                <w:rFonts w:ascii="仿宋_GB2312" w:hAnsi="仿宋_GB2312" w:cs="仿宋_GB2312" w:eastAsia="仿宋_GB2312"/>
              </w:rPr>
              <w:t>596,000.00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标的名称：醇基液体燃料等4种产品质量监督抽查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8"/>
              <w:gridCol w:w="246"/>
              <w:gridCol w:w="216"/>
              <w:gridCol w:w="254"/>
              <w:gridCol w:w="254"/>
              <w:gridCol w:w="276"/>
              <w:gridCol w:w="331"/>
              <w:gridCol w:w="815"/>
            </w:tblGrid>
            <w:tr>
              <w:tc>
                <w:tcPr>
                  <w:tcW w:type="dxa" w:w="14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24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产品</w:t>
                  </w:r>
                </w:p>
                <w:p>
                  <w:pPr>
                    <w:pStyle w:val="null3"/>
                    <w:jc w:val="center"/>
                  </w:pPr>
                  <w:r>
                    <w:rPr>
                      <w:rFonts w:ascii="仿宋_GB2312" w:hAnsi="仿宋_GB2312" w:cs="仿宋_GB2312" w:eastAsia="仿宋_GB2312"/>
                      <w:sz w:val="18"/>
                      <w:b/>
                    </w:rPr>
                    <w:t>名称</w:t>
                  </w:r>
                </w:p>
              </w:tc>
              <w:tc>
                <w:tcPr>
                  <w:tcW w:type="dxa" w:w="21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购样</w:t>
                  </w:r>
                  <w:r>
                    <w:br/>
                  </w:r>
                  <w:r>
                    <w:rPr>
                      <w:rFonts w:ascii="仿宋_GB2312" w:hAnsi="仿宋_GB2312" w:cs="仿宋_GB2312" w:eastAsia="仿宋_GB2312"/>
                      <w:sz w:val="18"/>
                      <w:b/>
                    </w:rPr>
                    <w:t>单批次价格</w:t>
                  </w:r>
                  <w:r>
                    <w:br/>
                  </w:r>
                  <w:r>
                    <w:rPr>
                      <w:rFonts w:ascii="仿宋_GB2312" w:hAnsi="仿宋_GB2312" w:cs="仿宋_GB2312" w:eastAsia="仿宋_GB2312"/>
                      <w:sz w:val="18"/>
                      <w:b/>
                    </w:rPr>
                    <w:t>（万元/批次）</w:t>
                  </w:r>
                </w:p>
              </w:tc>
              <w:tc>
                <w:tcPr>
                  <w:tcW w:type="dxa" w:w="50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定价招标，增加总批次数</w:t>
                  </w:r>
                </w:p>
              </w:tc>
              <w:tc>
                <w:tcPr>
                  <w:tcW w:type="dxa" w:w="2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批次递增，购样费用累加</w:t>
                  </w:r>
                  <w:r>
                    <w:br/>
                  </w:r>
                  <w:r>
                    <w:rPr>
                      <w:rFonts w:ascii="仿宋_GB2312" w:hAnsi="仿宋_GB2312" w:cs="仿宋_GB2312" w:eastAsia="仿宋_GB2312"/>
                      <w:sz w:val="18"/>
                      <w:b/>
                    </w:rPr>
                    <w:t>（万元）</w:t>
                  </w:r>
                </w:p>
              </w:tc>
              <w:tc>
                <w:tcPr>
                  <w:tcW w:type="dxa" w:w="33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总抽检费</w:t>
                  </w:r>
                  <w:r>
                    <w:br/>
                  </w:r>
                  <w:r>
                    <w:rPr>
                      <w:rFonts w:ascii="仿宋_GB2312" w:hAnsi="仿宋_GB2312" w:cs="仿宋_GB2312" w:eastAsia="仿宋_GB2312"/>
                      <w:sz w:val="18"/>
                      <w:b/>
                    </w:rPr>
                    <w:t>（万元）</w:t>
                  </w:r>
                </w:p>
              </w:tc>
              <w:tc>
                <w:tcPr>
                  <w:tcW w:type="dxa" w:w="81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执行标准及检验项目</w:t>
                  </w:r>
                </w:p>
              </w:tc>
            </w:tr>
            <w:tr>
              <w:tc>
                <w:tcPr>
                  <w:tcW w:type="dxa" w:w="148"/>
                  <w:vMerge/>
                  <w:tcBorders>
                    <w:top w:val="single" w:color="000000" w:sz="4"/>
                    <w:left w:val="single" w:color="000000" w:sz="4"/>
                    <w:bottom w:val="single" w:color="000000" w:sz="4"/>
                    <w:right w:val="single" w:color="000000" w:sz="4"/>
                  </w:tcBorders>
                </w:tcPr>
                <w:p/>
              </w:tc>
              <w:tc>
                <w:tcPr>
                  <w:tcW w:type="dxa" w:w="246"/>
                  <w:vMerge/>
                  <w:tcBorders>
                    <w:top w:val="single" w:color="000000" w:sz="4"/>
                    <w:left w:val="single" w:color="000000" w:sz="4"/>
                    <w:bottom w:val="single" w:color="000000" w:sz="4"/>
                    <w:right w:val="single" w:color="000000" w:sz="4"/>
                  </w:tcBorders>
                </w:tcPr>
                <w:p/>
              </w:tc>
              <w:tc>
                <w:tcPr>
                  <w:tcW w:type="dxa" w:w="216"/>
                  <w:vMerge/>
                  <w:tcBorders>
                    <w:top w:val="single" w:color="000000" w:sz="4"/>
                    <w:left w:val="single" w:color="000000" w:sz="4"/>
                    <w:bottom w:val="single" w:color="000000" w:sz="4"/>
                    <w:right w:val="single" w:color="000000" w:sz="4"/>
                  </w:tcBorders>
                </w:tcPr>
                <w:p/>
              </w:tc>
              <w:tc>
                <w:tcPr>
                  <w:tcW w:type="dxa" w:w="2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总批次数</w:t>
                  </w:r>
                </w:p>
              </w:tc>
              <w:tc>
                <w:tcPr>
                  <w:tcW w:type="dxa" w:w="2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其中网抽批次数</w:t>
                  </w:r>
                </w:p>
              </w:tc>
              <w:tc>
                <w:tcPr>
                  <w:tcW w:type="dxa" w:w="276"/>
                  <w:vMerge/>
                  <w:tcBorders>
                    <w:top w:val="single" w:color="000000" w:sz="4"/>
                    <w:left w:val="single" w:color="000000" w:sz="4"/>
                    <w:bottom w:val="single" w:color="000000" w:sz="4"/>
                    <w:right w:val="single" w:color="000000" w:sz="4"/>
                  </w:tcBorders>
                </w:tcPr>
                <w:p/>
              </w:tc>
              <w:tc>
                <w:tcPr>
                  <w:tcW w:type="dxa" w:w="331"/>
                  <w:vMerge/>
                  <w:tcBorders>
                    <w:top w:val="single" w:color="000000" w:sz="4"/>
                    <w:left w:val="single" w:color="000000" w:sz="4"/>
                    <w:bottom w:val="single" w:color="000000" w:sz="4"/>
                    <w:right w:val="single" w:color="000000" w:sz="4"/>
                  </w:tcBorders>
                </w:tcPr>
                <w:p/>
              </w:tc>
              <w:tc>
                <w:tcPr>
                  <w:tcW w:type="dxa" w:w="815"/>
                  <w:vMerge/>
                  <w:tcBorders>
                    <w:top w:val="single" w:color="000000" w:sz="4"/>
                    <w:left w:val="single" w:color="000000" w:sz="4"/>
                    <w:bottom w:val="single" w:color="000000" w:sz="4"/>
                    <w:right w:val="single" w:color="000000" w:sz="4"/>
                  </w:tcBorders>
                </w:tcPr>
                <w:p/>
              </w:tc>
            </w:tr>
            <w:tr>
              <w:tc>
                <w:tcPr>
                  <w:tcW w:type="dxa" w:w="148"/>
                  <w:vMerge/>
                  <w:tcBorders>
                    <w:top w:val="single" w:color="000000" w:sz="4"/>
                    <w:left w:val="single" w:color="000000" w:sz="4"/>
                    <w:bottom w:val="single" w:color="000000" w:sz="4"/>
                    <w:right w:val="single" w:color="000000" w:sz="4"/>
                  </w:tcBorders>
                </w:tcPr>
                <w:p/>
              </w:tc>
              <w:tc>
                <w:tcPr>
                  <w:tcW w:type="dxa" w:w="246"/>
                  <w:vMerge/>
                  <w:tcBorders>
                    <w:top w:val="single" w:color="000000" w:sz="4"/>
                    <w:left w:val="single" w:color="000000" w:sz="4"/>
                    <w:bottom w:val="single" w:color="000000" w:sz="4"/>
                    <w:right w:val="single" w:color="000000" w:sz="4"/>
                  </w:tcBorders>
                </w:tcPr>
                <w:p/>
              </w:tc>
              <w:tc>
                <w:tcPr>
                  <w:tcW w:type="dxa" w:w="216"/>
                  <w:vMerge/>
                  <w:tcBorders>
                    <w:top w:val="single" w:color="000000" w:sz="4"/>
                    <w:left w:val="single" w:color="000000" w:sz="4"/>
                    <w:bottom w:val="single" w:color="000000" w:sz="4"/>
                    <w:right w:val="single" w:color="000000" w:sz="4"/>
                  </w:tcBorders>
                </w:tcPr>
                <w:p/>
              </w:tc>
              <w:tc>
                <w:tcPr>
                  <w:tcW w:type="dxa" w:w="254"/>
                  <w:vMerge/>
                  <w:tcBorders>
                    <w:top w:val="none" w:color="000000" w:sz="4"/>
                    <w:left w:val="single" w:color="000000" w:sz="4"/>
                    <w:bottom w:val="single" w:color="000000" w:sz="4"/>
                    <w:right w:val="single" w:color="000000" w:sz="4"/>
                  </w:tcBorders>
                </w:tcPr>
                <w:p/>
              </w:tc>
              <w:tc>
                <w:tcPr>
                  <w:tcW w:type="dxa" w:w="254"/>
                  <w:vMerge/>
                  <w:tcBorders>
                    <w:top w:val="none" w:color="000000" w:sz="4"/>
                    <w:left w:val="single" w:color="000000" w:sz="4"/>
                    <w:bottom w:val="single" w:color="000000" w:sz="4"/>
                    <w:right w:val="single" w:color="000000" w:sz="4"/>
                  </w:tcBorders>
                </w:tcPr>
                <w:p/>
              </w:tc>
              <w:tc>
                <w:tcPr>
                  <w:tcW w:type="dxa" w:w="276"/>
                  <w:vMerge/>
                  <w:tcBorders>
                    <w:top w:val="single" w:color="000000" w:sz="4"/>
                    <w:left w:val="single" w:color="000000" w:sz="4"/>
                    <w:bottom w:val="single" w:color="000000" w:sz="4"/>
                    <w:right w:val="single" w:color="000000" w:sz="4"/>
                  </w:tcBorders>
                </w:tcPr>
                <w:p/>
              </w:tc>
              <w:tc>
                <w:tcPr>
                  <w:tcW w:type="dxa" w:w="331"/>
                  <w:vMerge/>
                  <w:tcBorders>
                    <w:top w:val="single" w:color="000000" w:sz="4"/>
                    <w:left w:val="single" w:color="000000" w:sz="4"/>
                    <w:bottom w:val="single" w:color="000000" w:sz="4"/>
                    <w:right w:val="single" w:color="000000" w:sz="4"/>
                  </w:tcBorders>
                </w:tcPr>
                <w:p/>
              </w:tc>
              <w:tc>
                <w:tcPr>
                  <w:tcW w:type="dxa" w:w="815"/>
                  <w:vMerge/>
                  <w:tcBorders>
                    <w:top w:val="single" w:color="000000" w:sz="4"/>
                    <w:left w:val="single" w:color="000000" w:sz="4"/>
                    <w:bottom w:val="singl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醇基液体燃料</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0.002</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0.05</w:t>
                  </w:r>
                </w:p>
              </w:tc>
              <w:tc>
                <w:tcPr>
                  <w:tcW w:type="dxa" w:w="3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41.14652</w:t>
                  </w:r>
                </w:p>
              </w:tc>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 16663-1996(2004)：醇含量、密度(20℃)、机械杂质、凝点、引燃温度、pH值、50%馏出温度、稳定性 (-20℃)、甲醛试验</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液化天然气</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0.005</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0.25</w:t>
                  </w:r>
                </w:p>
              </w:tc>
              <w:tc>
                <w:tcPr>
                  <w:tcW w:type="dxa" w:w="331"/>
                  <w:vMerge/>
                  <w:tcBorders>
                    <w:top w:val="none" w:color="000000" w:sz="4"/>
                    <w:left w:val="single" w:color="000000" w:sz="4"/>
                    <w:bottom w:val="single" w:color="000000" w:sz="4"/>
                    <w:right w:val="single" w:color="000000" w:sz="4"/>
                  </w:tcBorders>
                </w:tcPr>
                <w:p/>
              </w:tc>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GB∕T38753-2020：甲烷摩尔分数、 C4+烷烃摩尔分数、二氧化碳摩尔分数、氮气摩尔分数、氧气摩尔分数、总硫含量、硫化氢含量、高位体积发热量</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车用压缩天然气</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0.005</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0.225</w:t>
                  </w:r>
                </w:p>
              </w:tc>
              <w:tc>
                <w:tcPr>
                  <w:tcW w:type="dxa" w:w="331"/>
                  <w:vMerge/>
                  <w:tcBorders>
                    <w:top w:val="none" w:color="000000" w:sz="4"/>
                    <w:left w:val="single" w:color="000000" w:sz="4"/>
                    <w:bottom w:val="single" w:color="000000" w:sz="4"/>
                    <w:right w:val="single" w:color="000000" w:sz="4"/>
                  </w:tcBorders>
                </w:tcPr>
                <w:p/>
              </w:tc>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GB18047-2017：高位发热量、总硫、硫化氢、二氧化碳、氧气、水露点</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润滑油（脂）</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0.015</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0.63</w:t>
                  </w:r>
                </w:p>
              </w:tc>
              <w:tc>
                <w:tcPr>
                  <w:tcW w:type="dxa" w:w="331"/>
                  <w:vMerge/>
                  <w:tcBorders>
                    <w:top w:val="none" w:color="000000" w:sz="4"/>
                    <w:left w:val="single" w:color="000000" w:sz="4"/>
                    <w:bottom w:val="single" w:color="000000" w:sz="4"/>
                    <w:right w:val="single" w:color="000000" w:sz="4"/>
                  </w:tcBorders>
                </w:tcPr>
                <w:p/>
              </w:tc>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GB/T 7324-2010：外观、工作锥入度、滴点、腐蚀、钢网分油、水淋流失量、蒸发量、杂质（显微镜法）</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标的名称：油墨等5种产品质量监督抽查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63"/>
              <w:gridCol w:w="227"/>
              <w:gridCol w:w="223"/>
              <w:gridCol w:w="244"/>
              <w:gridCol w:w="257"/>
              <w:gridCol w:w="275"/>
              <w:gridCol w:w="326"/>
              <w:gridCol w:w="820"/>
            </w:tblGrid>
            <w:tr>
              <w:tc>
                <w:tcPr>
                  <w:tcW w:type="dxa" w:w="16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22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产品</w:t>
                  </w:r>
                </w:p>
                <w:p>
                  <w:pPr>
                    <w:pStyle w:val="null3"/>
                    <w:jc w:val="center"/>
                  </w:pPr>
                  <w:r>
                    <w:rPr>
                      <w:rFonts w:ascii="仿宋_GB2312" w:hAnsi="仿宋_GB2312" w:cs="仿宋_GB2312" w:eastAsia="仿宋_GB2312"/>
                      <w:sz w:val="18"/>
                      <w:b/>
                    </w:rPr>
                    <w:t>名称</w:t>
                  </w:r>
                </w:p>
              </w:tc>
              <w:tc>
                <w:tcPr>
                  <w:tcW w:type="dxa" w:w="22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购样</w:t>
                  </w:r>
                  <w:r>
                    <w:br/>
                  </w:r>
                  <w:r>
                    <w:rPr>
                      <w:rFonts w:ascii="仿宋_GB2312" w:hAnsi="仿宋_GB2312" w:cs="仿宋_GB2312" w:eastAsia="仿宋_GB2312"/>
                      <w:sz w:val="18"/>
                      <w:b/>
                    </w:rPr>
                    <w:t>单批次价格</w:t>
                  </w:r>
                  <w:r>
                    <w:br/>
                  </w:r>
                  <w:r>
                    <w:rPr>
                      <w:rFonts w:ascii="仿宋_GB2312" w:hAnsi="仿宋_GB2312" w:cs="仿宋_GB2312" w:eastAsia="仿宋_GB2312"/>
                      <w:sz w:val="18"/>
                      <w:b/>
                    </w:rPr>
                    <w:t>（万元/批次）</w:t>
                  </w:r>
                </w:p>
              </w:tc>
              <w:tc>
                <w:tcPr>
                  <w:tcW w:type="dxa" w:w="50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定价招标，增加总批次数</w:t>
                  </w:r>
                </w:p>
              </w:tc>
              <w:tc>
                <w:tcPr>
                  <w:tcW w:type="dxa" w:w="27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批次递增，购样费用累加</w:t>
                  </w:r>
                  <w:r>
                    <w:br/>
                  </w:r>
                  <w:r>
                    <w:rPr>
                      <w:rFonts w:ascii="仿宋_GB2312" w:hAnsi="仿宋_GB2312" w:cs="仿宋_GB2312" w:eastAsia="仿宋_GB2312"/>
                      <w:sz w:val="18"/>
                      <w:b/>
                    </w:rPr>
                    <w:t>（万元）</w:t>
                  </w:r>
                </w:p>
              </w:tc>
              <w:tc>
                <w:tcPr>
                  <w:tcW w:type="dxa" w:w="3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总抽检费</w:t>
                  </w:r>
                  <w:r>
                    <w:br/>
                  </w:r>
                  <w:r>
                    <w:rPr>
                      <w:rFonts w:ascii="仿宋_GB2312" w:hAnsi="仿宋_GB2312" w:cs="仿宋_GB2312" w:eastAsia="仿宋_GB2312"/>
                      <w:sz w:val="18"/>
                      <w:b/>
                    </w:rPr>
                    <w:t>（万元）</w:t>
                  </w:r>
                </w:p>
              </w:tc>
              <w:tc>
                <w:tcPr>
                  <w:tcW w:type="dxa" w:w="82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执行标准及检验项目</w:t>
                  </w:r>
                </w:p>
              </w:tc>
            </w:tr>
            <w:tr>
              <w:tc>
                <w:tcPr>
                  <w:tcW w:type="dxa" w:w="163"/>
                  <w:vMerge/>
                  <w:tcBorders>
                    <w:top w:val="single" w:color="000000" w:sz="4"/>
                    <w:left w:val="single" w:color="000000" w:sz="4"/>
                    <w:bottom w:val="single" w:color="000000" w:sz="4"/>
                    <w:right w:val="single" w:color="000000" w:sz="4"/>
                  </w:tcBorders>
                </w:tcPr>
                <w:p/>
              </w:tc>
              <w:tc>
                <w:tcPr>
                  <w:tcW w:type="dxa" w:w="227"/>
                  <w:vMerge/>
                  <w:tcBorders>
                    <w:top w:val="single" w:color="000000" w:sz="4"/>
                    <w:left w:val="single" w:color="000000" w:sz="4"/>
                    <w:bottom w:val="single" w:color="000000" w:sz="4"/>
                    <w:right w:val="single" w:color="000000" w:sz="4"/>
                  </w:tcBorders>
                </w:tcPr>
                <w:p/>
              </w:tc>
              <w:tc>
                <w:tcPr>
                  <w:tcW w:type="dxa" w:w="223"/>
                  <w:vMerge/>
                  <w:tcBorders>
                    <w:top w:val="single" w:color="000000" w:sz="4"/>
                    <w:left w:val="single" w:color="000000" w:sz="4"/>
                    <w:bottom w:val="single" w:color="000000" w:sz="4"/>
                    <w:right w:val="single" w:color="000000" w:sz="4"/>
                  </w:tcBorders>
                </w:tcPr>
                <w:p/>
              </w:tc>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总批次数</w:t>
                  </w:r>
                </w:p>
              </w:tc>
              <w:tc>
                <w:tcPr>
                  <w:tcW w:type="dxa" w:w="2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其中网抽批次数</w:t>
                  </w:r>
                </w:p>
              </w:tc>
              <w:tc>
                <w:tcPr>
                  <w:tcW w:type="dxa" w:w="275"/>
                  <w:vMerge/>
                  <w:tcBorders>
                    <w:top w:val="single" w:color="000000" w:sz="4"/>
                    <w:left w:val="single" w:color="000000" w:sz="4"/>
                    <w:bottom w:val="single" w:color="000000" w:sz="4"/>
                    <w:right w:val="single" w:color="000000" w:sz="4"/>
                  </w:tcBorders>
                </w:tcPr>
                <w:p/>
              </w:tc>
              <w:tc>
                <w:tcPr>
                  <w:tcW w:type="dxa" w:w="326"/>
                  <w:vMerge/>
                  <w:tcBorders>
                    <w:top w:val="single" w:color="000000" w:sz="4"/>
                    <w:left w:val="single" w:color="000000" w:sz="4"/>
                    <w:bottom w:val="single" w:color="000000" w:sz="4"/>
                    <w:right w:val="single" w:color="000000" w:sz="4"/>
                  </w:tcBorders>
                </w:tcPr>
                <w:p/>
              </w:tc>
              <w:tc>
                <w:tcPr>
                  <w:tcW w:type="dxa" w:w="820"/>
                  <w:vMerge/>
                  <w:tcBorders>
                    <w:top w:val="single" w:color="000000" w:sz="4"/>
                    <w:left w:val="single" w:color="000000" w:sz="4"/>
                    <w:bottom w:val="single" w:color="000000" w:sz="4"/>
                    <w:right w:val="single" w:color="000000" w:sz="4"/>
                  </w:tcBorders>
                </w:tcPr>
                <w:p/>
              </w:tc>
            </w:tr>
            <w:tr>
              <w:tc>
                <w:tcPr>
                  <w:tcW w:type="dxa" w:w="163"/>
                  <w:vMerge/>
                  <w:tcBorders>
                    <w:top w:val="single" w:color="000000" w:sz="4"/>
                    <w:left w:val="single" w:color="000000" w:sz="4"/>
                    <w:bottom w:val="single" w:color="000000" w:sz="4"/>
                    <w:right w:val="single" w:color="000000" w:sz="4"/>
                  </w:tcBorders>
                </w:tcPr>
                <w:p/>
              </w:tc>
              <w:tc>
                <w:tcPr>
                  <w:tcW w:type="dxa" w:w="227"/>
                  <w:vMerge/>
                  <w:tcBorders>
                    <w:top w:val="single" w:color="000000" w:sz="4"/>
                    <w:left w:val="single" w:color="000000" w:sz="4"/>
                    <w:bottom w:val="single" w:color="000000" w:sz="4"/>
                    <w:right w:val="single" w:color="000000" w:sz="4"/>
                  </w:tcBorders>
                </w:tcPr>
                <w:p/>
              </w:tc>
              <w:tc>
                <w:tcPr>
                  <w:tcW w:type="dxa" w:w="223"/>
                  <w:vMerge/>
                  <w:tcBorders>
                    <w:top w:val="single" w:color="000000" w:sz="4"/>
                    <w:left w:val="single" w:color="000000" w:sz="4"/>
                    <w:bottom w:val="single" w:color="000000" w:sz="4"/>
                    <w:right w:val="single" w:color="000000" w:sz="4"/>
                  </w:tcBorders>
                </w:tcPr>
                <w:p/>
              </w:tc>
              <w:tc>
                <w:tcPr>
                  <w:tcW w:type="dxa" w:w="244"/>
                  <w:vMerge/>
                  <w:tcBorders>
                    <w:top w:val="none" w:color="000000" w:sz="4"/>
                    <w:left w:val="single" w:color="000000" w:sz="4"/>
                    <w:bottom w:val="single" w:color="000000" w:sz="4"/>
                    <w:right w:val="single" w:color="000000" w:sz="4"/>
                  </w:tcBorders>
                </w:tcPr>
                <w:p/>
              </w:tc>
              <w:tc>
                <w:tcPr>
                  <w:tcW w:type="dxa" w:w="257"/>
                  <w:vMerge/>
                  <w:tcBorders>
                    <w:top w:val="none" w:color="000000" w:sz="4"/>
                    <w:left w:val="single" w:color="000000" w:sz="4"/>
                    <w:bottom w:val="single" w:color="000000" w:sz="4"/>
                    <w:right w:val="single" w:color="000000" w:sz="4"/>
                  </w:tcBorders>
                </w:tcPr>
                <w:p/>
              </w:tc>
              <w:tc>
                <w:tcPr>
                  <w:tcW w:type="dxa" w:w="275"/>
                  <w:vMerge/>
                  <w:tcBorders>
                    <w:top w:val="single" w:color="000000" w:sz="4"/>
                    <w:left w:val="single" w:color="000000" w:sz="4"/>
                    <w:bottom w:val="single" w:color="000000" w:sz="4"/>
                    <w:right w:val="single" w:color="000000" w:sz="4"/>
                  </w:tcBorders>
                </w:tcPr>
                <w:p/>
              </w:tc>
              <w:tc>
                <w:tcPr>
                  <w:tcW w:type="dxa" w:w="326"/>
                  <w:vMerge/>
                  <w:tcBorders>
                    <w:top w:val="single" w:color="000000" w:sz="4"/>
                    <w:left w:val="single" w:color="000000" w:sz="4"/>
                    <w:bottom w:val="single" w:color="000000" w:sz="4"/>
                    <w:right w:val="single" w:color="000000" w:sz="4"/>
                  </w:tcBorders>
                </w:tcPr>
                <w:p/>
              </w:tc>
              <w:tc>
                <w:tcPr>
                  <w:tcW w:type="dxa" w:w="820"/>
                  <w:vMerge/>
                  <w:tcBorders>
                    <w:top w:val="single" w:color="000000" w:sz="4"/>
                    <w:left w:val="single" w:color="000000" w:sz="4"/>
                    <w:bottom w:val="single" w:color="000000" w:sz="4"/>
                    <w:right w:val="single" w:color="000000" w:sz="4"/>
                  </w:tcBorders>
                </w:tc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油墨</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0.01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0.35</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42.215</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 38507-2020：可挥发性有机化合物（VOCs）含量</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机动车辆制动液</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0.02</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0.8</w:t>
                  </w:r>
                </w:p>
              </w:tc>
              <w:tc>
                <w:tcPr>
                  <w:tcW w:type="dxa" w:w="326"/>
                  <w:vMerge/>
                  <w:tcBorders>
                    <w:top w:val="none" w:color="000000" w:sz="4"/>
                    <w:left w:val="single" w:color="000000" w:sz="4"/>
                    <w:bottom w:val="single" w:color="000000" w:sz="4"/>
                    <w:right w:val="single" w:color="000000" w:sz="4"/>
                  </w:tcBorders>
                </w:tcP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GB12981-2012：运动黏度（-40℃、100℃）、平衡回流沸点（ERBP）、湿平衡回流沸点（WERBP）、PH值、蒸发性能</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齿轮油（重负荷车辆齿轮油）</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0.015</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0.6</w:t>
                  </w:r>
                </w:p>
              </w:tc>
              <w:tc>
                <w:tcPr>
                  <w:tcW w:type="dxa" w:w="326"/>
                  <w:vMerge/>
                  <w:tcBorders>
                    <w:top w:val="none" w:color="000000" w:sz="4"/>
                    <w:left w:val="single" w:color="000000" w:sz="4"/>
                    <w:bottom w:val="single" w:color="000000" w:sz="4"/>
                    <w:right w:val="single" w:color="000000" w:sz="4"/>
                  </w:tcBorders>
                </w:tcP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 13895-2018：运动黏度度(100℃)、倾点、闪点（开口）、黏度指数、泡沫性（泡沫倾向）、铜片腐蚀、机械杂质、水分、硫酸盐灰分</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车用汽油清净剂</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0.08</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326"/>
                  <w:vMerge/>
                  <w:tcBorders>
                    <w:top w:val="none" w:color="000000" w:sz="4"/>
                    <w:left w:val="single" w:color="000000" w:sz="4"/>
                    <w:bottom w:val="single" w:color="000000" w:sz="4"/>
                    <w:right w:val="single" w:color="000000" w:sz="4"/>
                  </w:tcBorders>
                </w:tcP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 19592-2019：倾点、闪点(闭口)、硫含量、氮含量、氯含量、破乳性：界面、破乳性：相分离、防锈性</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柴油清净剂</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0.08</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326"/>
                  <w:vMerge/>
                  <w:tcBorders>
                    <w:top w:val="none" w:color="000000" w:sz="4"/>
                    <w:left w:val="single" w:color="000000" w:sz="4"/>
                    <w:bottom w:val="single" w:color="000000" w:sz="4"/>
                    <w:right w:val="single" w:color="000000" w:sz="4"/>
                  </w:tcBorders>
                </w:tcP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GB/T 32859-2016：氮含量、硫含量、氯含量、密度、运动黏度 (20℃)、闪点(闭口)、倾点、机械杂质、水分、破乳性，水层体积</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标的名称：烟花爆竹等3种产品质量监督抽查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0"/>
              <w:gridCol w:w="226"/>
              <w:gridCol w:w="217"/>
              <w:gridCol w:w="187"/>
              <w:gridCol w:w="192"/>
              <w:gridCol w:w="204"/>
              <w:gridCol w:w="268"/>
              <w:gridCol w:w="1071"/>
            </w:tblGrid>
            <w:tr>
              <w:tc>
                <w:tcPr>
                  <w:tcW w:type="dxa" w:w="17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产品</w:t>
                  </w:r>
                </w:p>
                <w:p>
                  <w:pPr>
                    <w:pStyle w:val="null3"/>
                    <w:jc w:val="center"/>
                  </w:pPr>
                  <w:r>
                    <w:rPr>
                      <w:rFonts w:ascii="仿宋_GB2312" w:hAnsi="仿宋_GB2312" w:cs="仿宋_GB2312" w:eastAsia="仿宋_GB2312"/>
                      <w:sz w:val="18"/>
                      <w:b/>
                    </w:rPr>
                    <w:t>名称</w:t>
                  </w:r>
                </w:p>
              </w:tc>
              <w:tc>
                <w:tcPr>
                  <w:tcW w:type="dxa" w:w="2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购样</w:t>
                  </w:r>
                  <w:r>
                    <w:br/>
                  </w:r>
                  <w:r>
                    <w:rPr>
                      <w:rFonts w:ascii="仿宋_GB2312" w:hAnsi="仿宋_GB2312" w:cs="仿宋_GB2312" w:eastAsia="仿宋_GB2312"/>
                      <w:sz w:val="18"/>
                      <w:b/>
                    </w:rPr>
                    <w:t>单批次价格</w:t>
                  </w:r>
                  <w:r>
                    <w:br/>
                  </w:r>
                  <w:r>
                    <w:rPr>
                      <w:rFonts w:ascii="仿宋_GB2312" w:hAnsi="仿宋_GB2312" w:cs="仿宋_GB2312" w:eastAsia="仿宋_GB2312"/>
                      <w:sz w:val="18"/>
                      <w:b/>
                    </w:rPr>
                    <w:t>（万元/批次）</w:t>
                  </w:r>
                </w:p>
              </w:tc>
              <w:tc>
                <w:tcPr>
                  <w:tcW w:type="dxa" w:w="37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定价招标，增加总批次数</w:t>
                  </w:r>
                </w:p>
              </w:tc>
              <w:tc>
                <w:tcPr>
                  <w:tcW w:type="dxa" w:w="20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批次递增，购样费用累加</w:t>
                  </w:r>
                  <w:r>
                    <w:br/>
                  </w:r>
                  <w:r>
                    <w:rPr>
                      <w:rFonts w:ascii="仿宋_GB2312" w:hAnsi="仿宋_GB2312" w:cs="仿宋_GB2312" w:eastAsia="仿宋_GB2312"/>
                      <w:sz w:val="18"/>
                      <w:b/>
                    </w:rPr>
                    <w:t>（万元）</w:t>
                  </w:r>
                </w:p>
              </w:tc>
              <w:tc>
                <w:tcPr>
                  <w:tcW w:type="dxa" w:w="26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总抽检费</w:t>
                  </w:r>
                  <w:r>
                    <w:br/>
                  </w:r>
                  <w:r>
                    <w:rPr>
                      <w:rFonts w:ascii="仿宋_GB2312" w:hAnsi="仿宋_GB2312" w:cs="仿宋_GB2312" w:eastAsia="仿宋_GB2312"/>
                      <w:sz w:val="18"/>
                      <w:b/>
                    </w:rPr>
                    <w:t>（万元）</w:t>
                  </w:r>
                </w:p>
              </w:tc>
              <w:tc>
                <w:tcPr>
                  <w:tcW w:type="dxa" w:w="107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执行标准及检验项目</w:t>
                  </w:r>
                </w:p>
              </w:tc>
            </w:tr>
            <w:tr>
              <w:tc>
                <w:tcPr>
                  <w:tcW w:type="dxa" w:w="170"/>
                  <w:vMerge/>
                  <w:tcBorders>
                    <w:top w:val="single" w:color="000000" w:sz="4"/>
                    <w:left w:val="single" w:color="000000" w:sz="4"/>
                    <w:bottom w:val="single" w:color="000000" w:sz="4"/>
                    <w:right w:val="single" w:color="000000" w:sz="4"/>
                  </w:tcBorders>
                </w:tcPr>
                <w:p/>
              </w:tc>
              <w:tc>
                <w:tcPr>
                  <w:tcW w:type="dxa" w:w="226"/>
                  <w:vMerge/>
                  <w:tcBorders>
                    <w:top w:val="single" w:color="000000" w:sz="4"/>
                    <w:left w:val="single" w:color="000000" w:sz="4"/>
                    <w:bottom w:val="single" w:color="000000" w:sz="4"/>
                    <w:right w:val="single" w:color="000000" w:sz="4"/>
                  </w:tcBorders>
                </w:tcPr>
                <w:p/>
              </w:tc>
              <w:tc>
                <w:tcPr>
                  <w:tcW w:type="dxa" w:w="217"/>
                  <w:vMerge/>
                  <w:tcBorders>
                    <w:top w:val="single" w:color="000000" w:sz="4"/>
                    <w:left w:val="single" w:color="000000" w:sz="4"/>
                    <w:bottom w:val="single" w:color="000000" w:sz="4"/>
                    <w:right w:val="single" w:color="000000" w:sz="4"/>
                  </w:tcBorders>
                </w:tcP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总批次数</w:t>
                  </w:r>
                </w:p>
              </w:tc>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其中网抽批次数</w:t>
                  </w:r>
                </w:p>
              </w:tc>
              <w:tc>
                <w:tcPr>
                  <w:tcW w:type="dxa" w:w="204"/>
                  <w:vMerge/>
                  <w:tcBorders>
                    <w:top w:val="single" w:color="000000" w:sz="4"/>
                    <w:left w:val="single" w:color="000000" w:sz="4"/>
                    <w:bottom w:val="single" w:color="000000" w:sz="4"/>
                    <w:right w:val="single" w:color="000000" w:sz="4"/>
                  </w:tcBorders>
                </w:tcPr>
                <w:p/>
              </w:tc>
              <w:tc>
                <w:tcPr>
                  <w:tcW w:type="dxa" w:w="268"/>
                  <w:vMerge/>
                  <w:tcBorders>
                    <w:top w:val="single" w:color="000000" w:sz="4"/>
                    <w:left w:val="single" w:color="000000" w:sz="4"/>
                    <w:bottom w:val="single" w:color="000000" w:sz="4"/>
                    <w:right w:val="single" w:color="000000" w:sz="4"/>
                  </w:tcBorders>
                </w:tcPr>
                <w:p/>
              </w:tc>
              <w:tc>
                <w:tcPr>
                  <w:tcW w:type="dxa" w:w="1071"/>
                  <w:vMerge/>
                  <w:tcBorders>
                    <w:top w:val="single" w:color="000000" w:sz="4"/>
                    <w:left w:val="single" w:color="000000" w:sz="4"/>
                    <w:bottom w:val="single" w:color="000000" w:sz="4"/>
                    <w:right w:val="single" w:color="000000" w:sz="4"/>
                  </w:tcBorders>
                </w:tcPr>
                <w:p/>
              </w:tc>
            </w:tr>
            <w:tr>
              <w:tc>
                <w:tcPr>
                  <w:tcW w:type="dxa" w:w="170"/>
                  <w:vMerge/>
                  <w:tcBorders>
                    <w:top w:val="single" w:color="000000" w:sz="4"/>
                    <w:left w:val="single" w:color="000000" w:sz="4"/>
                    <w:bottom w:val="single" w:color="000000" w:sz="4"/>
                    <w:right w:val="single" w:color="000000" w:sz="4"/>
                  </w:tcBorders>
                </w:tcPr>
                <w:p/>
              </w:tc>
              <w:tc>
                <w:tcPr>
                  <w:tcW w:type="dxa" w:w="226"/>
                  <w:vMerge/>
                  <w:tcBorders>
                    <w:top w:val="single" w:color="000000" w:sz="4"/>
                    <w:left w:val="single" w:color="000000" w:sz="4"/>
                    <w:bottom w:val="single" w:color="000000" w:sz="4"/>
                    <w:right w:val="single" w:color="000000" w:sz="4"/>
                  </w:tcBorders>
                </w:tcPr>
                <w:p/>
              </w:tc>
              <w:tc>
                <w:tcPr>
                  <w:tcW w:type="dxa" w:w="217"/>
                  <w:vMerge/>
                  <w:tcBorders>
                    <w:top w:val="singl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92"/>
                  <w:vMerge/>
                  <w:tcBorders>
                    <w:top w:val="none" w:color="000000" w:sz="4"/>
                    <w:left w:val="single" w:color="000000" w:sz="4"/>
                    <w:bottom w:val="single" w:color="000000" w:sz="4"/>
                    <w:right w:val="single" w:color="000000" w:sz="4"/>
                  </w:tcBorders>
                </w:tcPr>
                <w:p/>
              </w:tc>
              <w:tc>
                <w:tcPr>
                  <w:tcW w:type="dxa" w:w="204"/>
                  <w:vMerge/>
                  <w:tcBorders>
                    <w:top w:val="single" w:color="000000" w:sz="4"/>
                    <w:left w:val="single" w:color="000000" w:sz="4"/>
                    <w:bottom w:val="single" w:color="000000" w:sz="4"/>
                    <w:right w:val="single" w:color="000000" w:sz="4"/>
                  </w:tcBorders>
                </w:tcPr>
                <w:p/>
              </w:tc>
              <w:tc>
                <w:tcPr>
                  <w:tcW w:type="dxa" w:w="268"/>
                  <w:vMerge/>
                  <w:tcBorders>
                    <w:top w:val="single" w:color="000000" w:sz="4"/>
                    <w:left w:val="single" w:color="000000" w:sz="4"/>
                    <w:bottom w:val="single" w:color="000000" w:sz="4"/>
                    <w:right w:val="single" w:color="000000" w:sz="4"/>
                  </w:tcBorders>
                </w:tcPr>
                <w:p/>
              </w:tc>
              <w:tc>
                <w:tcPr>
                  <w:tcW w:type="dxa" w:w="1071"/>
                  <w:vMerge/>
                  <w:tcBorders>
                    <w:top w:val="singl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烟花爆竹</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0.04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 10631—2013 烟花爆竹 安全与质量(</w:t>
                  </w:r>
                  <w:r>
                    <w:rPr>
                      <w:rFonts w:ascii="仿宋_GB2312" w:hAnsi="仿宋_GB2312" w:cs="仿宋_GB2312" w:eastAsia="仿宋_GB2312"/>
                      <w:sz w:val="21"/>
                      <w:shd w:fill="F5F5F5" w:val="clear"/>
                    </w:rPr>
                    <w:t>2026-05-01</w:t>
                  </w:r>
                  <w:r>
                    <w:rPr>
                      <w:rFonts w:ascii="仿宋_GB2312" w:hAnsi="仿宋_GB2312" w:cs="仿宋_GB2312" w:eastAsia="仿宋_GB2312"/>
                      <w:sz w:val="21"/>
                      <w:shd w:fill="F5F5F5" w:val="clear"/>
                    </w:rPr>
                    <w:t>后作废</w:t>
                  </w:r>
                  <w:r>
                    <w:rPr>
                      <w:rFonts w:ascii="仿宋_GB2312" w:hAnsi="仿宋_GB2312" w:cs="仿宋_GB2312" w:eastAsia="仿宋_GB2312"/>
                      <w:sz w:val="18"/>
                    </w:rPr>
                    <w:t>)；GB 19593—2015 烟花爆竹 组合烟花（</w:t>
                  </w:r>
                  <w:r>
                    <w:rPr>
                      <w:rFonts w:ascii="仿宋_GB2312" w:hAnsi="仿宋_GB2312" w:cs="仿宋_GB2312" w:eastAsia="仿宋_GB2312"/>
                      <w:sz w:val="21"/>
                      <w:shd w:fill="F5F5F5" w:val="clear"/>
                    </w:rPr>
                    <w:t>2026-06-01</w:t>
                  </w:r>
                  <w:r>
                    <w:rPr>
                      <w:rFonts w:ascii="仿宋_GB2312" w:hAnsi="仿宋_GB2312" w:cs="仿宋_GB2312" w:eastAsia="仿宋_GB2312"/>
                      <w:sz w:val="21"/>
                      <w:shd w:fill="F5F5F5" w:val="clear"/>
                    </w:rPr>
                    <w:t>后作废</w:t>
                  </w:r>
                  <w:r>
                    <w:rPr>
                      <w:rFonts w:ascii="仿宋_GB2312" w:hAnsi="仿宋_GB2312" w:cs="仿宋_GB2312" w:eastAsia="仿宋_GB2312"/>
                      <w:sz w:val="18"/>
                    </w:rPr>
                    <w:t>）组合烟花：</w:t>
                  </w:r>
                  <w:r>
                    <w:rPr>
                      <w:rFonts w:ascii="仿宋_GB2312" w:hAnsi="仿宋_GB2312" w:cs="仿宋_GB2312" w:eastAsia="仿宋_GB2312"/>
                      <w:sz w:val="18"/>
                    </w:rPr>
                    <w:t>标志（运输包装标志、 销售包装标志、）、包装（ 运输包装、销售包装）、外观、部件{引燃装置(引火线 、 引火线牢固性、引燃时间)}、结构和材质、主体稳定性、药种、药量 、燃放性能</w:t>
                  </w:r>
                  <w:r>
                    <w:br/>
                  </w:r>
                  <w:r>
                    <w:rPr>
                      <w:rFonts w:ascii="仿宋_GB2312" w:hAnsi="仿宋_GB2312" w:cs="仿宋_GB2312" w:eastAsia="仿宋_GB2312"/>
                      <w:sz w:val="18"/>
                    </w:rPr>
                    <w:t>注： 1. 标志要求的检验项目为GB10631—2013中5.1.1、5.1.2、5.1.3及GB 19593—2015中5.1.1、5.1.2 c）、d）、e），GB10631—2013中5.1.2要求的检验项目为产品名称、制造商名称及地址，GB10631—2013中5.1.3要求的检验项目为产品名称、制造商名称及地址、警示语、燃放说明；</w:t>
                  </w:r>
                  <w:r>
                    <w:br/>
                  </w:r>
                  <w:r>
                    <w:rPr>
                      <w:rFonts w:ascii="仿宋_GB2312" w:hAnsi="仿宋_GB2312" w:cs="仿宋_GB2312" w:eastAsia="仿宋_GB2312"/>
                      <w:sz w:val="18"/>
                    </w:rPr>
                    <w:t>2. 包装要求的检验项目为GB10631—2013中5.2.1、5.2.2；</w:t>
                  </w:r>
                  <w:r>
                    <w:br/>
                  </w:r>
                  <w:r>
                    <w:rPr>
                      <w:rFonts w:ascii="仿宋_GB2312" w:hAnsi="仿宋_GB2312" w:cs="仿宋_GB2312" w:eastAsia="仿宋_GB2312"/>
                      <w:sz w:val="18"/>
                    </w:rPr>
                    <w:t>3. 外观要求的检验项目为GB10631—2013 5.3中“重霉变，主体严重变形，开裂”；</w:t>
                  </w:r>
                  <w:r>
                    <w:br/>
                  </w:r>
                  <w:r>
                    <w:rPr>
                      <w:rFonts w:ascii="仿宋_GB2312" w:hAnsi="仿宋_GB2312" w:cs="仿宋_GB2312" w:eastAsia="仿宋_GB2312"/>
                      <w:sz w:val="18"/>
                    </w:rPr>
                    <w:t>4. 部件要求的检验项目为GB10631—2013中5.4.2.1、5.4.2.4及GB19593—2015中5.3.2；</w:t>
                  </w:r>
                  <w:r>
                    <w:br/>
                  </w:r>
                  <w:r>
                    <w:rPr>
                      <w:rFonts w:ascii="仿宋_GB2312" w:hAnsi="仿宋_GB2312" w:cs="仿宋_GB2312" w:eastAsia="仿宋_GB2312"/>
                      <w:sz w:val="18"/>
                    </w:rPr>
                    <w:t>5. 结构和材质要求的检验项目为GB10631—2013中5.5及GB19593—2015中5.4；</w:t>
                  </w:r>
                  <w:r>
                    <w:br/>
                  </w:r>
                  <w:r>
                    <w:rPr>
                      <w:rFonts w:ascii="仿宋_GB2312" w:hAnsi="仿宋_GB2312" w:cs="仿宋_GB2312" w:eastAsia="仿宋_GB2312"/>
                      <w:sz w:val="18"/>
                    </w:rPr>
                    <w:t>6. 药种要求的检验项目为GB10631—2013中5.6.1.1；</w:t>
                  </w:r>
                  <w:r>
                    <w:br/>
                  </w:r>
                  <w:r>
                    <w:rPr>
                      <w:rFonts w:ascii="仿宋_GB2312" w:hAnsi="仿宋_GB2312" w:cs="仿宋_GB2312" w:eastAsia="仿宋_GB2312"/>
                      <w:sz w:val="18"/>
                    </w:rPr>
                    <w:t>7. 药量要求的检验项目为GB10631—2013中5.6.2.2（不检验开包药药量）；</w:t>
                  </w:r>
                  <w:r>
                    <w:br/>
                  </w:r>
                  <w:r>
                    <w:rPr>
                      <w:rFonts w:ascii="仿宋_GB2312" w:hAnsi="仿宋_GB2312" w:cs="仿宋_GB2312" w:eastAsia="仿宋_GB2312"/>
                      <w:sz w:val="18"/>
                    </w:rPr>
                    <w:t>8. 燃放性能要求的检验项目为GB19593—2015中5.7.5、5.7.6。</w:t>
                  </w:r>
                  <w:r>
                    <w:br/>
                  </w:r>
                  <w:r>
                    <w:rPr>
                      <w:rFonts w:ascii="仿宋_GB2312" w:hAnsi="仿宋_GB2312" w:cs="仿宋_GB2312" w:eastAsia="仿宋_GB2312"/>
                      <w:sz w:val="18"/>
                    </w:rPr>
                    <w:t>烟花爆竹产品（除组合烟花外） ：标志（运输包装标志、 销售包装标志、）、包装（ 运输包装、销售包装）、外观、部件{部件牢固性、 引燃装置（引火线 、引火线牢固性 、引燃时间） 手持部位}、结构和材质、药种、药量、燃放性能</w:t>
                  </w:r>
                  <w:r>
                    <w:br/>
                  </w:r>
                  <w:r>
                    <w:rPr>
                      <w:rFonts w:ascii="仿宋_GB2312" w:hAnsi="仿宋_GB2312" w:cs="仿宋_GB2312" w:eastAsia="仿宋_GB2312"/>
                      <w:sz w:val="18"/>
                    </w:rPr>
                    <w:t>注：1. 标志要求的检验项目为GB10631—2013中5.1.1、5.1.2、5.1.3，GB10631—2013中5.1.2要求的检验项目为产品名称、制造商名称及地址，GB10631-2013中5.1.3要求的检验项目为产品名称、制造商名称及地址、警示语、燃放说明；</w:t>
                  </w:r>
                  <w:r>
                    <w:br/>
                  </w:r>
                  <w:r>
                    <w:rPr>
                      <w:rFonts w:ascii="仿宋_GB2312" w:hAnsi="仿宋_GB2312" w:cs="仿宋_GB2312" w:eastAsia="仿宋_GB2312"/>
                      <w:sz w:val="18"/>
                    </w:rPr>
                    <w:t>2. 包装要求的检验项目为GB10631—2013中5.2.1、5.2.2；</w:t>
                  </w:r>
                  <w:r>
                    <w:br/>
                  </w:r>
                  <w:r>
                    <w:rPr>
                      <w:rFonts w:ascii="仿宋_GB2312" w:hAnsi="仿宋_GB2312" w:cs="仿宋_GB2312" w:eastAsia="仿宋_GB2312"/>
                      <w:sz w:val="18"/>
                    </w:rPr>
                    <w:t>3. 外观要求的检验项目为GB10631—2013 5.3中“重霉变，主体严重变形，开裂”；</w:t>
                  </w:r>
                  <w:r>
                    <w:br/>
                  </w:r>
                  <w:r>
                    <w:rPr>
                      <w:rFonts w:ascii="仿宋_GB2312" w:hAnsi="仿宋_GB2312" w:cs="仿宋_GB2312" w:eastAsia="仿宋_GB2312"/>
                      <w:sz w:val="18"/>
                    </w:rPr>
                    <w:t>4. 部件要求的检验项目为GB10631—2013中5.4.1、5.4.2.1、5.4.2.3、5.4.2.4、5.4.2.6、5.4.3；</w:t>
                  </w:r>
                  <w:r>
                    <w:br/>
                  </w:r>
                  <w:r>
                    <w:rPr>
                      <w:rFonts w:ascii="仿宋_GB2312" w:hAnsi="仿宋_GB2312" w:cs="仿宋_GB2312" w:eastAsia="仿宋_GB2312"/>
                      <w:sz w:val="18"/>
                    </w:rPr>
                    <w:t>5. 结构和材质要求的检验项目为GB10631—2013中5.5.1、5.5.4、5.5.5；</w:t>
                  </w:r>
                  <w:r>
                    <w:br/>
                  </w:r>
                  <w:r>
                    <w:rPr>
                      <w:rFonts w:ascii="仿宋_GB2312" w:hAnsi="仿宋_GB2312" w:cs="仿宋_GB2312" w:eastAsia="仿宋_GB2312"/>
                      <w:sz w:val="18"/>
                    </w:rPr>
                    <w:t>6. 药种要求的检验项目为GB10631—2013中5.6.1.1；</w:t>
                  </w:r>
                  <w:r>
                    <w:br/>
                  </w:r>
                  <w:r>
                    <w:rPr>
                      <w:rFonts w:ascii="仿宋_GB2312" w:hAnsi="仿宋_GB2312" w:cs="仿宋_GB2312" w:eastAsia="仿宋_GB2312"/>
                      <w:sz w:val="18"/>
                    </w:rPr>
                    <w:t>7. 药量要求的检验项目为GB10631—2013中5.6.2.2。</w:t>
                  </w:r>
                  <w:r>
                    <w:br/>
                  </w:r>
                  <w:r>
                    <w:rPr>
                      <w:rFonts w:ascii="仿宋_GB2312" w:hAnsi="仿宋_GB2312" w:cs="仿宋_GB2312" w:eastAsia="仿宋_GB2312"/>
                      <w:sz w:val="18"/>
                    </w:rPr>
                    <w:t>8. 燃放性能要求的检验项目为GB10631—2013中5.7.8、5.7.9、5.7.10、5.7.11、5.7.12、5.7.14。</w:t>
                  </w:r>
                </w:p>
                <w:p>
                  <w:pPr>
                    <w:pStyle w:val="null3"/>
                    <w:jc w:val="left"/>
                  </w:pPr>
                  <w:r>
                    <w:rPr>
                      <w:rFonts w:ascii="仿宋_GB2312" w:hAnsi="仿宋_GB2312" w:cs="仿宋_GB2312" w:eastAsia="仿宋_GB2312"/>
                      <w:sz w:val="18"/>
                    </w:rPr>
                    <w:t>GB 10631-2025：标志、包装、外观、部件、结构、材质、药种、药量、燃放性能</w:t>
                  </w:r>
                </w:p>
                <w:p>
                  <w:pPr>
                    <w:pStyle w:val="null3"/>
                    <w:jc w:val="left"/>
                  </w:pPr>
                  <w:r>
                    <w:rPr>
                      <w:rFonts w:ascii="仿宋_GB2312" w:hAnsi="仿宋_GB2312" w:cs="仿宋_GB2312" w:eastAsia="仿宋_GB2312"/>
                      <w:sz w:val="18"/>
                    </w:rPr>
                    <w:t>GB/T 19593-2026：标志、包装、外观、底座、底塞、引燃装置、结构、材质、、药种、药量、燃放性能</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太阳镜</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0.04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68"/>
                  <w:vMerge/>
                  <w:tcBorders>
                    <w:top w:val="none" w:color="000000" w:sz="4"/>
                    <w:left w:val="single" w:color="000000" w:sz="4"/>
                    <w:bottom w:val="single" w:color="000000" w:sz="4"/>
                    <w:right w:val="single" w:color="000000" w:sz="4"/>
                  </w:tcBorders>
                </w:tcP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 39552.1-2020太阳镜和太阳镜片 第1部分：通用要求：结构、镜片的材料和表面质量、光透射比、太阳紫外A波段透射比、太阳紫外B波段透射比、透射比的均匀性、球镜度、散光度、棱镜度、阻燃性、太阳镜镜片尺寸、抗冲击性能</w:t>
                  </w:r>
                  <w:r>
                    <w:br/>
                  </w:r>
                  <w:r>
                    <w:rPr>
                      <w:rFonts w:ascii="仿宋_GB2312" w:hAnsi="仿宋_GB2312" w:cs="仿宋_GB2312" w:eastAsia="仿宋_GB2312"/>
                      <w:sz w:val="18"/>
                    </w:rPr>
                    <w:t>注：1. 透射比的均匀性的检验项目为GB 39552.1—2020中5.2.2；</w:t>
                  </w:r>
                  <w:r>
                    <w:br/>
                  </w:r>
                  <w:r>
                    <w:rPr>
                      <w:rFonts w:ascii="仿宋_GB2312" w:hAnsi="仿宋_GB2312" w:cs="仿宋_GB2312" w:eastAsia="仿宋_GB2312"/>
                      <w:sz w:val="18"/>
                    </w:rPr>
                    <w:t xml:space="preserve">    2. 棱镜度的检验项目为GB 39552.1—2020中6.2.2。</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眼镜架</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0.04</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68"/>
                  <w:vMerge/>
                  <w:tcBorders>
                    <w:top w:val="none" w:color="000000" w:sz="4"/>
                    <w:left w:val="single" w:color="000000" w:sz="4"/>
                    <w:bottom w:val="single" w:color="000000" w:sz="4"/>
                    <w:right w:val="single" w:color="000000" w:sz="4"/>
                  </w:tcBorders>
                </w:tcP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GB/T 14214-2019 眼镜架 通用要求和试验方法：高温尺寸稳定性、机械稳定性—鼻梁变形、机械稳定性—镜片夹持力、机械稳定性—耐疲劳、抗汗腐蚀、阻燃性、尺寸偏差</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标的名称：劳动防护用品口罩类等4类产品质量监督抽查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6"/>
              <w:gridCol w:w="315"/>
              <w:gridCol w:w="213"/>
              <w:gridCol w:w="192"/>
              <w:gridCol w:w="200"/>
              <w:gridCol w:w="239"/>
              <w:gridCol w:w="281"/>
              <w:gridCol w:w="926"/>
            </w:tblGrid>
            <w:tr>
              <w:tc>
                <w:tcPr>
                  <w:tcW w:type="dxa" w:w="16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31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18"/>
                      <w:b/>
                    </w:rPr>
                    <w:t>产品名称</w:t>
                  </w:r>
                </w:p>
              </w:tc>
              <w:tc>
                <w:tcPr>
                  <w:tcW w:type="dxa" w:w="21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购样</w:t>
                  </w:r>
                  <w:r>
                    <w:br/>
                  </w:r>
                  <w:r>
                    <w:rPr>
                      <w:rFonts w:ascii="仿宋_GB2312" w:hAnsi="仿宋_GB2312" w:cs="仿宋_GB2312" w:eastAsia="仿宋_GB2312"/>
                      <w:sz w:val="18"/>
                      <w:b/>
                    </w:rPr>
                    <w:t>单批次价格</w:t>
                  </w:r>
                  <w:r>
                    <w:br/>
                  </w:r>
                  <w:r>
                    <w:rPr>
                      <w:rFonts w:ascii="仿宋_GB2312" w:hAnsi="仿宋_GB2312" w:cs="仿宋_GB2312" w:eastAsia="仿宋_GB2312"/>
                      <w:sz w:val="18"/>
                      <w:b/>
                    </w:rPr>
                    <w:t>（万元/批次）</w:t>
                  </w:r>
                </w:p>
              </w:tc>
              <w:tc>
                <w:tcPr>
                  <w:tcW w:type="dxa" w:w="39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定价招标，增加总批次数</w:t>
                  </w:r>
                </w:p>
              </w:tc>
              <w:tc>
                <w:tcPr>
                  <w:tcW w:type="dxa" w:w="23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批次递增，购样费用累加</w:t>
                  </w:r>
                  <w:r>
                    <w:br/>
                  </w:r>
                  <w:r>
                    <w:rPr>
                      <w:rFonts w:ascii="仿宋_GB2312" w:hAnsi="仿宋_GB2312" w:cs="仿宋_GB2312" w:eastAsia="仿宋_GB2312"/>
                      <w:sz w:val="18"/>
                      <w:b/>
                    </w:rPr>
                    <w:t>（万元）</w:t>
                  </w:r>
                </w:p>
              </w:tc>
              <w:tc>
                <w:tcPr>
                  <w:tcW w:type="dxa" w:w="28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总抽检费</w:t>
                  </w:r>
                  <w:r>
                    <w:br/>
                  </w:r>
                  <w:r>
                    <w:rPr>
                      <w:rFonts w:ascii="仿宋_GB2312" w:hAnsi="仿宋_GB2312" w:cs="仿宋_GB2312" w:eastAsia="仿宋_GB2312"/>
                      <w:sz w:val="18"/>
                      <w:b/>
                    </w:rPr>
                    <w:t>（万元）</w:t>
                  </w:r>
                </w:p>
              </w:tc>
              <w:tc>
                <w:tcPr>
                  <w:tcW w:type="dxa" w:w="9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执行标准及检验项目</w:t>
                  </w:r>
                </w:p>
              </w:tc>
            </w:tr>
            <w:tr>
              <w:tc>
                <w:tcPr>
                  <w:tcW w:type="dxa" w:w="166"/>
                  <w:vMerge/>
                  <w:tcBorders>
                    <w:top w:val="single" w:color="000000" w:sz="4"/>
                    <w:left w:val="single" w:color="000000" w:sz="4"/>
                    <w:bottom w:val="single" w:color="000000" w:sz="4"/>
                    <w:right w:val="single" w:color="000000" w:sz="4"/>
                  </w:tcBorders>
                </w:tcPr>
                <w:p/>
              </w:tc>
              <w:tc>
                <w:tcPr>
                  <w:tcW w:type="dxa" w:w="315"/>
                  <w:vMerge/>
                  <w:tcBorders>
                    <w:top w:val="single" w:color="000000" w:sz="4"/>
                    <w:left w:val="single" w:color="000000" w:sz="4"/>
                    <w:bottom w:val="single" w:color="000000" w:sz="4"/>
                    <w:right w:val="single" w:color="000000" w:sz="4"/>
                  </w:tcBorders>
                </w:tcPr>
                <w:p/>
              </w:tc>
              <w:tc>
                <w:tcPr>
                  <w:tcW w:type="dxa" w:w="213"/>
                  <w:vMerge/>
                  <w:tcBorders>
                    <w:top w:val="single" w:color="000000" w:sz="4"/>
                    <w:left w:val="single" w:color="000000" w:sz="4"/>
                    <w:bottom w:val="single" w:color="000000" w:sz="4"/>
                    <w:right w:val="single" w:color="000000" w:sz="4"/>
                  </w:tcBorders>
                </w:tcPr>
                <w:p/>
              </w:tc>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总批次数</w:t>
                  </w:r>
                </w:p>
              </w:tc>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其中网抽批次数</w:t>
                  </w:r>
                </w:p>
              </w:tc>
              <w:tc>
                <w:tcPr>
                  <w:tcW w:type="dxa" w:w="239"/>
                  <w:vMerge/>
                  <w:tcBorders>
                    <w:top w:val="single" w:color="000000" w:sz="4"/>
                    <w:left w:val="single" w:color="000000" w:sz="4"/>
                    <w:bottom w:val="single" w:color="000000" w:sz="4"/>
                    <w:right w:val="single" w:color="000000" w:sz="4"/>
                  </w:tcBorders>
                </w:tcPr>
                <w:p/>
              </w:tc>
              <w:tc>
                <w:tcPr>
                  <w:tcW w:type="dxa" w:w="281"/>
                  <w:vMerge/>
                  <w:tcBorders>
                    <w:top w:val="single" w:color="000000" w:sz="4"/>
                    <w:left w:val="single" w:color="000000" w:sz="4"/>
                    <w:bottom w:val="single" w:color="000000" w:sz="4"/>
                    <w:right w:val="single" w:color="000000" w:sz="4"/>
                  </w:tcBorders>
                </w:tcPr>
                <w:p/>
              </w:tc>
              <w:tc>
                <w:tcPr>
                  <w:tcW w:type="dxa" w:w="926"/>
                  <w:vMerge/>
                  <w:tcBorders>
                    <w:top w:val="single" w:color="000000" w:sz="4"/>
                    <w:left w:val="single" w:color="000000" w:sz="4"/>
                    <w:bottom w:val="single" w:color="000000" w:sz="4"/>
                    <w:right w:val="single" w:color="000000" w:sz="4"/>
                  </w:tcBorders>
                </w:tcPr>
                <w:p/>
              </w:tc>
            </w:tr>
            <w:tr>
              <w:tc>
                <w:tcPr>
                  <w:tcW w:type="dxa" w:w="166"/>
                  <w:vMerge/>
                  <w:tcBorders>
                    <w:top w:val="single" w:color="000000" w:sz="4"/>
                    <w:left w:val="single" w:color="000000" w:sz="4"/>
                    <w:bottom w:val="single" w:color="000000" w:sz="4"/>
                    <w:right w:val="single" w:color="000000" w:sz="4"/>
                  </w:tcBorders>
                </w:tcPr>
                <w:p/>
              </w:tc>
              <w:tc>
                <w:tcPr>
                  <w:tcW w:type="dxa" w:w="315"/>
                  <w:vMerge/>
                  <w:tcBorders>
                    <w:top w:val="single" w:color="000000" w:sz="4"/>
                    <w:left w:val="single" w:color="000000" w:sz="4"/>
                    <w:bottom w:val="single" w:color="000000" w:sz="4"/>
                    <w:right w:val="single" w:color="000000" w:sz="4"/>
                  </w:tcBorders>
                </w:tcPr>
                <w:p/>
              </w:tc>
              <w:tc>
                <w:tcPr>
                  <w:tcW w:type="dxa" w:w="213"/>
                  <w:vMerge/>
                  <w:tcBorders>
                    <w:top w:val="single" w:color="000000" w:sz="4"/>
                    <w:left w:val="single" w:color="000000" w:sz="4"/>
                    <w:bottom w:val="single" w:color="000000" w:sz="4"/>
                    <w:right w:val="single" w:color="000000" w:sz="4"/>
                  </w:tcBorders>
                </w:tcPr>
                <w:p/>
              </w:tc>
              <w:tc>
                <w:tcPr>
                  <w:tcW w:type="dxa" w:w="192"/>
                  <w:vMerge/>
                  <w:tcBorders>
                    <w:top w:val="none" w:color="000000" w:sz="4"/>
                    <w:left w:val="single" w:color="000000" w:sz="4"/>
                    <w:bottom w:val="single" w:color="000000" w:sz="4"/>
                    <w:right w:val="single" w:color="000000" w:sz="4"/>
                  </w:tcBorders>
                </w:tcPr>
                <w:p/>
              </w:tc>
              <w:tc>
                <w:tcPr>
                  <w:tcW w:type="dxa" w:w="200"/>
                  <w:vMerge/>
                  <w:tcBorders>
                    <w:top w:val="none" w:color="000000" w:sz="4"/>
                    <w:left w:val="single" w:color="000000" w:sz="4"/>
                    <w:bottom w:val="single" w:color="000000" w:sz="4"/>
                    <w:right w:val="single" w:color="000000" w:sz="4"/>
                  </w:tcBorders>
                </w:tcPr>
                <w:p/>
              </w:tc>
              <w:tc>
                <w:tcPr>
                  <w:tcW w:type="dxa" w:w="239"/>
                  <w:vMerge/>
                  <w:tcBorders>
                    <w:top w:val="single" w:color="000000" w:sz="4"/>
                    <w:left w:val="single" w:color="000000" w:sz="4"/>
                    <w:bottom w:val="single" w:color="000000" w:sz="4"/>
                    <w:right w:val="single" w:color="000000" w:sz="4"/>
                  </w:tcBorders>
                </w:tcPr>
                <w:p/>
              </w:tc>
              <w:tc>
                <w:tcPr>
                  <w:tcW w:type="dxa" w:w="281"/>
                  <w:vMerge/>
                  <w:tcBorders>
                    <w:top w:val="single" w:color="000000" w:sz="4"/>
                    <w:left w:val="single" w:color="000000" w:sz="4"/>
                    <w:bottom w:val="single" w:color="000000" w:sz="4"/>
                    <w:right w:val="single" w:color="000000" w:sz="4"/>
                  </w:tcBorders>
                </w:tcPr>
                <w:p/>
              </w:tc>
              <w:tc>
                <w:tcPr>
                  <w:tcW w:type="dxa" w:w="926"/>
                  <w:vMerge/>
                  <w:tcBorders>
                    <w:top w:val="single" w:color="000000" w:sz="4"/>
                    <w:left w:val="single" w:color="000000" w:sz="4"/>
                    <w:bottom w:val="single" w:color="000000" w:sz="4"/>
                    <w:right w:val="single" w:color="000000" w:sz="4"/>
                  </w:tcBorders>
                </w:tc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劳动防护用品口罩类（自吸过滤式防颗粒物呼吸器、日常防护型口罩）</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0.02</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0.6</w:t>
                  </w:r>
                </w:p>
              </w:tc>
              <w:tc>
                <w:tcPr>
                  <w:tcW w:type="dxa" w:w="2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39.5</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 2626-2019；GB/T 32610-2016：过滤效率、呼吸阻力、呼气阀气密性、头带吸气阻力、呼气阻力、过滤效率、防护效果、口罩带及口罩带与口罩体的连接处断裂强力</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劳动防护用品服装类（阻燃服、防静电服、化学防护服、焊接服、抗油易去污防静电防护服、10kV带电作业用绝缘服装）</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0.15</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81"/>
                  <w:vMerge/>
                  <w:tcBorders>
                    <w:top w:val="none" w:color="000000" w:sz="4"/>
                    <w:left w:val="single" w:color="000000" w:sz="4"/>
                    <w:bottom w:val="single" w:color="000000" w:sz="4"/>
                    <w:right w:val="single" w:color="000000" w:sz="4"/>
                  </w:tcBorders>
                </w:tcP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 8965.1-2020；GB 12014-2019；GB 24539-2021；GB 8965.2-2022；GB/T 28895-2012；DL/T 1125-2009：断裂强力、撕破强力、热稳定性、缝纫线阻燃性、阻燃性、甲醛含量、pH值、可分解致癌芳香胺染料</w:t>
                  </w:r>
                  <w:r>
                    <w:br/>
                  </w:r>
                  <w:r>
                    <w:rPr>
                      <w:rFonts w:ascii="仿宋_GB2312" w:hAnsi="仿宋_GB2312" w:cs="仿宋_GB2312" w:eastAsia="仿宋_GB2312"/>
                      <w:sz w:val="18"/>
                    </w:rPr>
                    <w:t>面料点对点电阻、服装防静电性能、甲醛含量、pH值、可分解致癌芳香胺染料</w:t>
                  </w:r>
                  <w:r>
                    <w:br/>
                  </w:r>
                  <w:r>
                    <w:rPr>
                      <w:rFonts w:ascii="仿宋_GB2312" w:hAnsi="仿宋_GB2312" w:cs="仿宋_GB2312" w:eastAsia="仿宋_GB2312"/>
                      <w:sz w:val="18"/>
                    </w:rPr>
                    <w:t>液体耐穿透性、穿透时间、耐液体静压力、拒液性能、撕破强力、断裂强力、织物酸碱类防护服面料断裂强力下降率、面料抗刺穿性能、面料耐高温性能、面料耐低温性能、防护视窗、化学防护手套和化学防护靴/鞋-防护视窗抗刺穿性能、化学防护手套、化学防护靴/鞋材料的液体耐压穿透性能、甲醛含量、pH值、可分解致癌芳香胺染料</w:t>
                  </w:r>
                  <w:r>
                    <w:br/>
                  </w:r>
                  <w:r>
                    <w:rPr>
                      <w:rFonts w:ascii="仿宋_GB2312" w:hAnsi="仿宋_GB2312" w:cs="仿宋_GB2312" w:eastAsia="仿宋_GB2312"/>
                      <w:sz w:val="18"/>
                    </w:rPr>
                    <w:t>断裂强力、撕破强力、阻燃性能、热稳定性、甲醛含量、pH值、可分解致癌芳香胺染料、六价铬含量</w:t>
                  </w:r>
                  <w:r>
                    <w:br/>
                  </w:r>
                  <w:r>
                    <w:rPr>
                      <w:rFonts w:ascii="仿宋_GB2312" w:hAnsi="仿宋_GB2312" w:cs="仿宋_GB2312" w:eastAsia="仿宋_GB2312"/>
                      <w:sz w:val="18"/>
                    </w:rPr>
                    <w:t>抗油性能、断裂强力、撕破强力、成品服装防静电性能、裤后裆接缝强力、成品服装甲醛含量、成品服装pH值</w:t>
                  </w:r>
                  <w:r>
                    <w:br/>
                  </w:r>
                  <w:r>
                    <w:rPr>
                      <w:rFonts w:ascii="仿宋_GB2312" w:hAnsi="仿宋_GB2312" w:cs="仿宋_GB2312" w:eastAsia="仿宋_GB2312"/>
                      <w:sz w:val="18"/>
                    </w:rPr>
                    <w:t>表层拉伸强度、表层抗机械刺穿、表层抗撕裂、电气性能</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劳动防护用品坠落防护类（自锁器、速差自控器、坠落防护缓冲器、坠落防护连接器、坠落防护安全绳）</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0.2</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81"/>
                  <w:vMerge/>
                  <w:tcBorders>
                    <w:top w:val="none" w:color="000000" w:sz="4"/>
                    <w:left w:val="single" w:color="000000" w:sz="4"/>
                    <w:bottom w:val="single" w:color="000000" w:sz="4"/>
                    <w:right w:val="single" w:color="000000" w:sz="4"/>
                  </w:tcBorders>
                </w:tcP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GB/T 24537-2009；GB/T 38230-2019；GB/T 24538-2009；GB/T 23469-2009；GB 24543-2009：耐腐蚀性能、整体静态负荷性能、整体动态负荷性能、可靠性；下降绳静态强度及延伸率、静态强度、耐腐蚀性能、耐高温性能耐腐蚀性能、静态负荷活门性能、活门静负荷、耐腐蚀性能耐腐蚀性能、静态力学性能</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劳动防护用品手套类（机械危害防护手套、带电作业用绝缘手套、焊工防护手套）</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81"/>
                  <w:vMerge/>
                  <w:tcBorders>
                    <w:top w:val="none" w:color="000000" w:sz="4"/>
                    <w:left w:val="single" w:color="000000" w:sz="4"/>
                    <w:bottom w:val="single" w:color="000000" w:sz="4"/>
                    <w:right w:val="single" w:color="000000" w:sz="4"/>
                  </w:tcBorders>
                </w:tcP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 24541-2022；GB/T 17622-2008；AQ 6103-2007：耐磨损性、耐切割性、耐撕裂性、耐穿刺性拉伸永久变形、防机械刺穿性能、耐磨性能、抗切割性能、抗撕裂性能、电气性能、耐老化性能要求、耐低温性能、阻燃性能、耐油性能、耐酸性能耐磨性、抗切割性、抗撕裂性、抗刺穿性、燃烧特性</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标的名称：泵（潜水电泵）等4种产品质量监督抽查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9"/>
              <w:gridCol w:w="203"/>
              <w:gridCol w:w="199"/>
              <w:gridCol w:w="212"/>
              <w:gridCol w:w="229"/>
              <w:gridCol w:w="245"/>
              <w:gridCol w:w="267"/>
              <w:gridCol w:w="1013"/>
            </w:tblGrid>
            <w:tr>
              <w:tc>
                <w:tcPr>
                  <w:tcW w:type="dxa" w:w="16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20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产品名称</w:t>
                  </w:r>
                </w:p>
              </w:tc>
              <w:tc>
                <w:tcPr>
                  <w:tcW w:type="dxa" w:w="19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购样</w:t>
                  </w:r>
                  <w:r>
                    <w:br/>
                  </w:r>
                  <w:r>
                    <w:rPr>
                      <w:rFonts w:ascii="仿宋_GB2312" w:hAnsi="仿宋_GB2312" w:cs="仿宋_GB2312" w:eastAsia="仿宋_GB2312"/>
                      <w:sz w:val="18"/>
                      <w:b/>
                    </w:rPr>
                    <w:t>单批次价格</w:t>
                  </w:r>
                  <w:r>
                    <w:br/>
                  </w:r>
                  <w:r>
                    <w:rPr>
                      <w:rFonts w:ascii="仿宋_GB2312" w:hAnsi="仿宋_GB2312" w:cs="仿宋_GB2312" w:eastAsia="仿宋_GB2312"/>
                      <w:sz w:val="18"/>
                      <w:b/>
                    </w:rPr>
                    <w:t>（万元/批次）</w:t>
                  </w:r>
                </w:p>
              </w:tc>
              <w:tc>
                <w:tcPr>
                  <w:tcW w:type="dxa" w:w="44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定价招标，增加总批次数</w:t>
                  </w:r>
                </w:p>
              </w:tc>
              <w:tc>
                <w:tcPr>
                  <w:tcW w:type="dxa" w:w="24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批次递增，购样费用累加</w:t>
                  </w:r>
                  <w:r>
                    <w:br/>
                  </w:r>
                  <w:r>
                    <w:rPr>
                      <w:rFonts w:ascii="仿宋_GB2312" w:hAnsi="仿宋_GB2312" w:cs="仿宋_GB2312" w:eastAsia="仿宋_GB2312"/>
                      <w:sz w:val="18"/>
                      <w:b/>
                    </w:rPr>
                    <w:t>（万元）</w:t>
                  </w:r>
                </w:p>
              </w:tc>
              <w:tc>
                <w:tcPr>
                  <w:tcW w:type="dxa" w:w="26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总抽检费</w:t>
                  </w:r>
                  <w:r>
                    <w:br/>
                  </w:r>
                  <w:r>
                    <w:rPr>
                      <w:rFonts w:ascii="仿宋_GB2312" w:hAnsi="仿宋_GB2312" w:cs="仿宋_GB2312" w:eastAsia="仿宋_GB2312"/>
                      <w:sz w:val="18"/>
                      <w:b/>
                    </w:rPr>
                    <w:t>（万元）</w:t>
                  </w:r>
                </w:p>
              </w:tc>
              <w:tc>
                <w:tcPr>
                  <w:tcW w:type="dxa" w:w="101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执行标准及检验项目</w:t>
                  </w:r>
                </w:p>
              </w:tc>
            </w:tr>
            <w:tr>
              <w:tc>
                <w:tcPr>
                  <w:tcW w:type="dxa" w:w="16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99"/>
                  <w:vMerge/>
                  <w:tcBorders>
                    <w:top w:val="single" w:color="000000" w:sz="4"/>
                    <w:left w:val="single" w:color="000000" w:sz="4"/>
                    <w:bottom w:val="single" w:color="000000" w:sz="4"/>
                    <w:right w:val="single" w:color="000000" w:sz="4"/>
                  </w:tcBorders>
                </w:tcPr>
                <w:p/>
              </w:tc>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总批次数</w:t>
                  </w:r>
                </w:p>
              </w:tc>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其中网抽批次数</w:t>
                  </w:r>
                </w:p>
              </w:tc>
              <w:tc>
                <w:tcPr>
                  <w:tcW w:type="dxa" w:w="245"/>
                  <w:vMerge/>
                  <w:tcBorders>
                    <w:top w:val="single" w:color="000000" w:sz="4"/>
                    <w:left w:val="single" w:color="000000" w:sz="4"/>
                    <w:bottom w:val="single" w:color="000000" w:sz="4"/>
                    <w:right w:val="single" w:color="000000" w:sz="4"/>
                  </w:tcBorders>
                </w:tcPr>
                <w:p/>
              </w:tc>
              <w:tc>
                <w:tcPr>
                  <w:tcW w:type="dxa" w:w="267"/>
                  <w:vMerge/>
                  <w:tcBorders>
                    <w:top w:val="single" w:color="000000" w:sz="4"/>
                    <w:left w:val="single" w:color="000000" w:sz="4"/>
                    <w:bottom w:val="single" w:color="000000" w:sz="4"/>
                    <w:right w:val="single" w:color="000000" w:sz="4"/>
                  </w:tcBorders>
                </w:tcPr>
                <w:p/>
              </w:tc>
              <w:tc>
                <w:tcPr>
                  <w:tcW w:type="dxa" w:w="1013"/>
                  <w:vMerge/>
                  <w:tcBorders>
                    <w:top w:val="single" w:color="000000" w:sz="4"/>
                    <w:left w:val="single" w:color="000000" w:sz="4"/>
                    <w:bottom w:val="single" w:color="000000" w:sz="4"/>
                    <w:right w:val="single" w:color="000000" w:sz="4"/>
                  </w:tcBorders>
                </w:tcPr>
                <w:p/>
              </w:tc>
            </w:tr>
            <w:tr>
              <w:tc>
                <w:tcPr>
                  <w:tcW w:type="dxa" w:w="169"/>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199"/>
                  <w:vMerge/>
                  <w:tcBorders>
                    <w:top w:val="single" w:color="000000" w:sz="4"/>
                    <w:left w:val="single" w:color="000000" w:sz="4"/>
                    <w:bottom w:val="single" w:color="000000" w:sz="4"/>
                    <w:right w:val="single" w:color="000000" w:sz="4"/>
                  </w:tcBorders>
                </w:tcPr>
                <w:p/>
              </w:tc>
              <w:tc>
                <w:tcPr>
                  <w:tcW w:type="dxa" w:w="212"/>
                  <w:vMerge/>
                  <w:tcBorders>
                    <w:top w:val="none" w:color="000000" w:sz="4"/>
                    <w:left w:val="single" w:color="000000" w:sz="4"/>
                    <w:bottom w:val="single" w:color="000000" w:sz="4"/>
                    <w:right w:val="single" w:color="000000" w:sz="4"/>
                  </w:tcBorders>
                </w:tcPr>
                <w:p/>
              </w:tc>
              <w:tc>
                <w:tcPr>
                  <w:tcW w:type="dxa" w:w="229"/>
                  <w:vMerge/>
                  <w:tcBorders>
                    <w:top w:val="none" w:color="000000" w:sz="4"/>
                    <w:left w:val="single" w:color="000000" w:sz="4"/>
                    <w:bottom w:val="single" w:color="000000" w:sz="4"/>
                    <w:right w:val="single" w:color="000000" w:sz="4"/>
                  </w:tcBorders>
                </w:tcPr>
                <w:p/>
              </w:tc>
              <w:tc>
                <w:tcPr>
                  <w:tcW w:type="dxa" w:w="245"/>
                  <w:vMerge/>
                  <w:tcBorders>
                    <w:top w:val="single" w:color="000000" w:sz="4"/>
                    <w:left w:val="single" w:color="000000" w:sz="4"/>
                    <w:bottom w:val="single" w:color="000000" w:sz="4"/>
                    <w:right w:val="single" w:color="000000" w:sz="4"/>
                  </w:tcBorders>
                </w:tcPr>
                <w:p/>
              </w:tc>
              <w:tc>
                <w:tcPr>
                  <w:tcW w:type="dxa" w:w="267"/>
                  <w:vMerge/>
                  <w:tcBorders>
                    <w:top w:val="single" w:color="000000" w:sz="4"/>
                    <w:left w:val="single" w:color="000000" w:sz="4"/>
                    <w:bottom w:val="single" w:color="000000" w:sz="4"/>
                    <w:right w:val="single" w:color="000000" w:sz="4"/>
                  </w:tcBorders>
                </w:tcPr>
                <w:p/>
              </w:tc>
              <w:tc>
                <w:tcPr>
                  <w:tcW w:type="dxa" w:w="1013"/>
                  <w:vMerge/>
                  <w:tcBorders>
                    <w:top w:val="single" w:color="000000" w:sz="4"/>
                    <w:left w:val="single" w:color="000000" w:sz="4"/>
                    <w:bottom w:val="single" w:color="000000" w:sz="4"/>
                    <w:right w:val="single" w:color="000000" w:sz="4"/>
                  </w:tcBorders>
                </w:tc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泵（潜水电泵）</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w:t>
                  </w:r>
                </w:p>
              </w:tc>
              <w:tc>
                <w:tcPr>
                  <w:tcW w:type="dxa" w:w="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不破坏性检测，退还样品</w:t>
                  </w:r>
                </w:p>
              </w:tc>
              <w:tc>
                <w:tcPr>
                  <w:tcW w:type="dxa" w:w="2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59.6</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GB/T 2816-2014；GB/T 2818-2014；GB/T 24674-2021；GB/T 25409-2010过载保护、接地措施、绝缘电阻、电泵引出电缆、定子绕组耐电压、效率、规定点流量与扬程、功率因数、定子温升限值、电机内腔水（气）压试验、安全标志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耕整机（手扶微型耕耘机）</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w:t>
                  </w:r>
                </w:p>
              </w:tc>
              <w:tc>
                <w:tcPr>
                  <w:tcW w:type="dxa" w:w="245"/>
                  <w:vMerge/>
                  <w:tcBorders>
                    <w:top w:val="none" w:color="000000" w:sz="4"/>
                    <w:left w:val="single" w:color="000000" w:sz="4"/>
                    <w:bottom w:val="single" w:color="000000" w:sz="4"/>
                    <w:right w:val="single" w:color="000000" w:sz="4"/>
                  </w:tcBorders>
                </w:tcPr>
                <w:p/>
              </w:tc>
              <w:tc>
                <w:tcPr>
                  <w:tcW w:type="dxa" w:w="267"/>
                  <w:vMerge/>
                  <w:tcBorders>
                    <w:top w:val="none" w:color="000000" w:sz="4"/>
                    <w:left w:val="single" w:color="000000" w:sz="4"/>
                    <w:bottom w:val="single" w:color="000000" w:sz="4"/>
                    <w:right w:val="single" w:color="000000" w:sz="4"/>
                  </w:tcBorders>
                </w:tc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 10395.10－2006 ；GB 10396－2006 ；JB/T 10266－2013安全要求、握持运行控制装置性能、握持运行控制装置影响发动机、安全标志、驾驶员操作位置噪声、定置环境噪声、起动性能、操纵手柄、操纵力、操纵柄自动回位、油门操纵机构</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机动脱粒机</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w:t>
                  </w:r>
                </w:p>
              </w:tc>
              <w:tc>
                <w:tcPr>
                  <w:tcW w:type="dxa" w:w="245"/>
                  <w:vMerge/>
                  <w:tcBorders>
                    <w:top w:val="none" w:color="000000" w:sz="4"/>
                    <w:left w:val="single" w:color="000000" w:sz="4"/>
                    <w:bottom w:val="single" w:color="000000" w:sz="4"/>
                    <w:right w:val="single" w:color="000000" w:sz="4"/>
                  </w:tcBorders>
                </w:tcPr>
                <w:p/>
              </w:tc>
              <w:tc>
                <w:tcPr>
                  <w:tcW w:type="dxa" w:w="267"/>
                  <w:vMerge/>
                  <w:tcBorders>
                    <w:top w:val="none" w:color="000000" w:sz="4"/>
                    <w:left w:val="single" w:color="000000" w:sz="4"/>
                    <w:bottom w:val="single" w:color="000000" w:sz="4"/>
                    <w:right w:val="single" w:color="000000" w:sz="4"/>
                  </w:tcBorders>
                </w:tc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 10396-2006；GB/T 23821-2022；JB/T 9777-2018；JB/T 9778-2018；JB/T 10749-2018：喂入装置、防护装置、紧固件、噪声、轴承温升、空载运转、安全标志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播种机</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w:t>
                  </w:r>
                </w:p>
              </w:tc>
              <w:tc>
                <w:tcPr>
                  <w:tcW w:type="dxa" w:w="245"/>
                  <w:vMerge/>
                  <w:tcBorders>
                    <w:top w:val="none" w:color="000000" w:sz="4"/>
                    <w:left w:val="single" w:color="000000" w:sz="4"/>
                    <w:bottom w:val="single" w:color="000000" w:sz="4"/>
                    <w:right w:val="single" w:color="000000" w:sz="4"/>
                  </w:tcBorders>
                </w:tcPr>
                <w:p/>
              </w:tc>
              <w:tc>
                <w:tcPr>
                  <w:tcW w:type="dxa" w:w="267"/>
                  <w:vMerge/>
                  <w:tcBorders>
                    <w:top w:val="none" w:color="000000" w:sz="4"/>
                    <w:left w:val="single" w:color="000000" w:sz="4"/>
                    <w:bottom w:val="single" w:color="000000" w:sz="4"/>
                    <w:right w:val="single" w:color="000000" w:sz="4"/>
                  </w:tcBorders>
                </w:tcP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GB 10395.9-2014；GB/T 20865-2017；JB/T 6274.1-2013；JB/T 8401.1-2017；JB/T 10293-2013安全要求、料箱、工作台、划行器、装载、安全标志</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所配备人员充足且专业能力满足采购需求，可保证本项目顺利实施。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所配备人员充足且专业能力满足采购需求，可保证本项目顺利实施。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所配备人员充足且专业能力满足采购需求，可保证本项目顺利实施。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所配备人员充足且专业能力满足采购需求，可保证本项目顺利实施。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所配备人员充足且专业能力满足采购需求，可保证本项目顺利实施。</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所提供设施设备充足先进，满足检验要求，可保证本项目顺利实施。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所提供设施设备充足先进，满足检验要求，可保证本项目顺利实施。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所提供设施设备充足先进，满足检验要求，可保证本项目顺利实施。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所提供设施设备充足先进，满足检验要求，可保证本项目顺利实施。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所提供设施设备充足先进，满足检验要求，可保证本项目顺利实施。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陕西省市场监督管理局指定地点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陕西省市场监督管理局指定地点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陕西省市场监督管理局指定地点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陕西省市场监督管理局指定地点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供应商所出具的检验报告满足国家或行业规范执行标准。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供应商所出具的检验报告满足国家或行业规范执行标准。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供应商所出具的检验报告满足国家或行业规范执行标准。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供应商所出具的检验报告满足国家或行业规范执行标准。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供应商所出具的检验报告满足国家或行业规范执行标准。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 同约定执行，详见合同附件。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按照合同约定执行，详见合同附</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按照合同约定执行，详见合同附件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1.定价招标说明： 1.根据《产品质量监督抽查管理暂行办法》要求，线下抽检需购买检验样品（除不以破坏性试验方式进行检验，并且不会对样品质量造成实质性影响的外），备用样品只封存，不购买；线上抽检检验样品与备用样品都需购买。 2.购样费指线下抽样的检验样品购买费、电商抽样的检验样品和备用样品购买费；抽检等费指抽样过程中发生的车辆保障费及人员旅差费、食宿费，检验费（含检验过程中发生的相关费用），相关文件资料（含检验报告等相关资料文书送达）中国邮政EMS邮寄费以及相关通讯费用，以及其他与抽检工作相关产生的费用。 3.预算经费为购样费与抽检等费用组成。定价招标，指预算经费与购样费平均单价不变的情况下，如抽样批次数增加，购样费则递增，按不超过中标批次核算后的购样费结算。如：A产品预算经费10万元，其中含购样费1万元，购样费单价平均每批次0.01万元不变，能抽样100批次。现某承检机构拟报价抽样200批次，那购样费增加为0.01万元×200批次=2万元，抽检等其他经费则为8万元。2.中标单位在领取中标通知书前，须向采购代理机构提供纸质版投标文件2套（1正1副），且提供的投标文件必须与在陕西省政府采购综合管理平台的项目电子化交易系统中递交的电子投标文件内容一致，纸质版投标文件必须装订成册封面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完整的财务审计报告（审计报告需上传至注册会计师行业统一监管平台并申请赋码），或投标截止时间前六个月内公司基本账户开户银行出具的资信证明（附基本存款账户信息），其他组织和自然人提供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完整的财务审计报告（审计报告需上传至注册会计师行业统一监管平台并申请赋码），或投标截止时间前六个月内公司基本账户开户银行出具的资信证明（附基本存款账户信息），其他组织和自然人提供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完整的财务审计报告（审计报告需上传至注册会计师行业统一监管平台并申请赋码），或投标截止时间前六个月内公司基本账户开户银行出具的资信证明（附基本存款账户信息），其他组织和自然人提供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完整的财务审计报告（审计报告需上传至注册会计师行业统一监管平台并申请赋码），或投标截止时间前六个月内公司基本账户开户银行出具的资信证明（附基本存款账户信息），其他组织和自然人提供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完整的财务审计报告（审计报告需上传至注册会计师行业统一监管平台并申请赋码），或投标截止时间前六个月内公司基本账户开户银行出具的资信证明（附基本存款账户信息），其他组织和自然人提供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或2025年完整的财务审计报告（审计报告需上传至注册会计师行业统一监管平台并申请赋码），或投标截止时间前六个月内公司基本账户开户银行出具的资信证明（附基本存款账户信息），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提供2025年3月至今已缴纳的至少一个月的纳税证明或完税证明，依法免税的单位应提供相关证明材料。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提供2025年3月至今已缴存的至少一个月的社会保障资金缴存单据或社保机构开具的社会保险参保缴费情况证明，依法不需要缴纳社会保障资金的单位应提供相关证明材料。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法定代表人（主要负责人）授权委托书/身份证明</w:t>
            </w:r>
          </w:p>
        </w:tc>
        <w:tc>
          <w:tcPr>
            <w:tcW w:type="dxa" w:w="3322"/>
          </w:tcPr>
          <w:p>
            <w:pPr>
              <w:pStyle w:val="null3"/>
            </w:pPr>
            <w:r>
              <w:rPr>
                <w:rFonts w:ascii="仿宋_GB2312" w:hAnsi="仿宋_GB2312" w:cs="仿宋_GB2312" w:eastAsia="仿宋_GB2312"/>
              </w:rPr>
              <w:t>法定代表人参与投标时，提供法定代表人身份证明；授权代表参与投标时，提供法人授权委托书。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本项目不接受从事承检产品生产、经营活动的供应商参与投标，供应商须提供相关声明。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或2025年完整的财务审计报告（审计报告需上传至注册会计师行业统一监管平台并申请赋码），或投标截止时间前六个月内公司基本账户开户银行出具的资信证明（附基本存款账户信息），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提供2025年3月至今已缴纳的至少一个月的纳税证明或完税证明，依法免税的单位应提供相关证明材料。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提供2025年3月至今已缴存的至少一个月的社会保障资金缴存单据或社保机构开具的社会保险参保缴费情况证明，依法不需要缴纳社会保障资金的单位应提供相关证明材料。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法定代表人（主要负责人）授权委托书/身份证明</w:t>
            </w:r>
          </w:p>
        </w:tc>
        <w:tc>
          <w:tcPr>
            <w:tcW w:type="dxa" w:w="3322"/>
          </w:tcPr>
          <w:p>
            <w:pPr>
              <w:pStyle w:val="null3"/>
            </w:pPr>
            <w:r>
              <w:rPr>
                <w:rFonts w:ascii="仿宋_GB2312" w:hAnsi="仿宋_GB2312" w:cs="仿宋_GB2312" w:eastAsia="仿宋_GB2312"/>
              </w:rPr>
              <w:t>法定代表人参与投标时，提供法定代表人身份证明；授权代表参与投标时，提供法人授权委托书。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本项目不接受从事承检产品生产、经营活动的供应商参与投标，供应商须提供相关声明。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或2025年完整的财务审计报告（审计报告需上传至注册会计师行业统一监管平台并申请赋码），或投标截止时间前六个月内公司基本账户开户银行出具的资信证明（附基本存款账户信息），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提供2025年3月至今已缴纳的至少一个月的纳税证明或完税证明，依法免税的单位应提供相关证明材料。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提供2025年3月至今已缴存的至少一个月的社会保障资金缴存单据或社保机构开具的社会保险参保缴费情况证明，依法不需要缴纳社会保障资金的单位应提供相关证明材料。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法定代表人（主要负责人）授权委托书/身份证明</w:t>
            </w:r>
          </w:p>
        </w:tc>
        <w:tc>
          <w:tcPr>
            <w:tcW w:type="dxa" w:w="3322"/>
          </w:tcPr>
          <w:p>
            <w:pPr>
              <w:pStyle w:val="null3"/>
            </w:pPr>
            <w:r>
              <w:rPr>
                <w:rFonts w:ascii="仿宋_GB2312" w:hAnsi="仿宋_GB2312" w:cs="仿宋_GB2312" w:eastAsia="仿宋_GB2312"/>
              </w:rPr>
              <w:t>法定代表人参与投标时，提供法定代表人身份证明；授权代表参与投标时，提供法人授权委托书。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本项目不接受从事承检产品生产、经营活动的供应商参与投标，供应商须提供相关声明。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或2025年完整的财务审计报告（审计报告需上传至注册会计师行业统一监管平台并申请赋码），或投标截止时间前六个月内公司基本账户开户银行出具的资信证明（附基本存款账户信息），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提供2025年3月至今已缴纳的至少一个月的纳税证明或完税证明，依法免税的单位应提供相关证明材料。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提供2025年3月至今已缴存的至少一个月的社会保障资金缴存单据或社保机构开具的社会保险参保缴费情况证明，依法不需要缴纳社会保障资金的单位应提供相关证明材料。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法定代表人（主要负责人）授权委托书/身份证明</w:t>
            </w:r>
          </w:p>
        </w:tc>
        <w:tc>
          <w:tcPr>
            <w:tcW w:type="dxa" w:w="3322"/>
          </w:tcPr>
          <w:p>
            <w:pPr>
              <w:pStyle w:val="null3"/>
            </w:pPr>
            <w:r>
              <w:rPr>
                <w:rFonts w:ascii="仿宋_GB2312" w:hAnsi="仿宋_GB2312" w:cs="仿宋_GB2312" w:eastAsia="仿宋_GB2312"/>
              </w:rPr>
              <w:t>法定代表人参与投标时，提供法定代表人身份证明；授权代表参与投标时，提供法人授权委托书。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本项目不接受从事承检产品生产、经营活动的供应商参与投标，供应商须提供相关声明。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或2025年完整的财务审计报告（审计报告需上传至注册会计师行业统一监管平台并申请赋码），或投标截止时间前六个月内公司基本账户开户银行出具的资信证明（附基本存款账户信息），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提供2025年3月至今已缴纳的至少一个月的纳税证明或完税证明，依法免税的单位应提供相关证明材料。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提供2025年3月至今已缴存的至少一个月的社会保障资金缴存单据或社保机构开具的社会保险参保缴费情况证明，依法不需要缴纳社会保障资金的单位应提供相关证明材料。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法定代表人（主要负责人）授权委托书/身份证明</w:t>
            </w:r>
          </w:p>
        </w:tc>
        <w:tc>
          <w:tcPr>
            <w:tcW w:type="dxa" w:w="3322"/>
          </w:tcPr>
          <w:p>
            <w:pPr>
              <w:pStyle w:val="null3"/>
            </w:pPr>
            <w:r>
              <w:rPr>
                <w:rFonts w:ascii="仿宋_GB2312" w:hAnsi="仿宋_GB2312" w:cs="仿宋_GB2312" w:eastAsia="仿宋_GB2312"/>
              </w:rPr>
              <w:t>法定代表人参与投标时，提供法定代表人身份证明；授权代表参与投标时，提供法人授权委托书。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本项目不接受从事承检产品生产、经营活动的供应商参与投标，供应商须提供相关声明。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（1）投标文件封面 （2）投标函 （3）法定代表人（主要负责人）授权委托书/身份证明</w:t>
            </w:r>
          </w:p>
        </w:tc>
        <w:tc>
          <w:tcPr>
            <w:tcW w:type="dxa" w:w="1661"/>
          </w:tcPr>
          <w:p>
            <w:pPr>
              <w:pStyle w:val="null3"/>
            </w:pPr>
            <w:r>
              <w:rPr>
                <w:rFonts w:ascii="仿宋_GB2312" w:hAnsi="仿宋_GB2312" w:cs="仿宋_GB2312" w:eastAsia="仿宋_GB2312"/>
              </w:rPr>
              <w:t>供应商应提交的相关资格证明材料.docx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签字盖章均符合招标文件要求，且无 遗漏。</w:t>
            </w:r>
          </w:p>
        </w:tc>
        <w:tc>
          <w:tcPr>
            <w:tcW w:type="dxa" w:w="1661"/>
          </w:tcPr>
          <w:p>
            <w:pPr>
              <w:pStyle w:val="null3"/>
            </w:pPr>
            <w:r>
              <w:rPr>
                <w:rFonts w:ascii="仿宋_GB2312" w:hAnsi="仿宋_GB2312" w:cs="仿宋_GB2312" w:eastAsia="仿宋_GB2312"/>
              </w:rPr>
              <w:t>服务内容及服务要求偏离表.docx 类似抽检品目业绩一览表.docx 中小企业声明函 供应商概况与承诺.docx 供应商认为有必要提供的其他资料.docx 采购包1：醇基液体燃料等4种产品质量监督抽查响应表.xlsx 供应商应提交的相关资格证明材料.docx 投标函 残疾人福利性单位声明函 标的清单 投标文件封面 投标包产品抽样检验周期承诺表.docx 商务偏离表.docx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服务内容及服务要求偏离表.docx 类似抽检品目业绩一览表.docx 中小企业声明函 供应商概况与承诺.docx 供应商认为有必要提供的其他资料.docx 采购包1：醇基液体燃料等4种产品质量监督抽查响应表.xlsx 供应商应提交的相关资格证明材料.docx 投标函 残疾人福利性单位声明函 标的清单 投标文件封面 投标包产品抽样检验周期承诺表.docx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服务内容及服务要求偏离表.docx 类似抽检品目业绩一览表.docx 中小企业声明函 供应商概况与承诺.docx 供应商认为有必要提供的其他资料.docx 采购包1：醇基液体燃料等4种产品质量监督抽查响应表.xlsx 供应商应提交的相关资格证明材料.docx 投标函 残疾人福利性单位声明函 标的清单 投标文件封面 投标包产品抽样检验周期承诺表.docx 商务偏离表.docx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（1）投标文件封面 （2）投标函 （3）法定代表人（主要负责人）授权委托书/身份证明</w:t>
            </w:r>
          </w:p>
        </w:tc>
        <w:tc>
          <w:tcPr>
            <w:tcW w:type="dxa" w:w="1661"/>
          </w:tcPr>
          <w:p>
            <w:pPr>
              <w:pStyle w:val="null3"/>
            </w:pPr>
            <w:r>
              <w:rPr>
                <w:rFonts w:ascii="仿宋_GB2312" w:hAnsi="仿宋_GB2312" w:cs="仿宋_GB2312" w:eastAsia="仿宋_GB2312"/>
              </w:rPr>
              <w:t>供应商应提交的相关资格证明材料.docx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签字盖章均符合招标文件要求，且无 遗漏。</w:t>
            </w:r>
          </w:p>
        </w:tc>
        <w:tc>
          <w:tcPr>
            <w:tcW w:type="dxa" w:w="1661"/>
          </w:tcPr>
          <w:p>
            <w:pPr>
              <w:pStyle w:val="null3"/>
            </w:pPr>
            <w:r>
              <w:rPr>
                <w:rFonts w:ascii="仿宋_GB2312" w:hAnsi="仿宋_GB2312" w:cs="仿宋_GB2312" w:eastAsia="仿宋_GB2312"/>
              </w:rPr>
              <w:t>服务内容及服务要求偏离表.docx 类似抽检品目业绩一览表.docx 中小企业声明函 采购包2：油墨等5种产品质量监督抽查响应表.xlsx 供应商概况与承诺.docx 供应商认为有必要提供的其他资料.docx 供应商应提交的相关资格证明材料.docx 投标函 残疾人福利性单位声明函 标的清单 投标文件封面 投标包产品抽样检验周期承诺表.docx 商务偏离表.docx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服务内容及服务要求偏离表.docx 类似抽检品目业绩一览表.docx 中小企业声明函 采购包2：油墨等5种产品质量监督抽查响应表.xlsx 供应商概况与承诺.docx 供应商认为有必要提供的其他资料.docx 供应商应提交的相关资格证明材料.docx 投标函 残疾人福利性单位声明函 标的清单 投标文件封面 投标包产品抽样检验周期承诺表.docx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服务内容及服务要求偏离表.docx 类似抽检品目业绩一览表.docx 中小企业声明函 采购包2：油墨等5种产品质量监督抽查响应表.xlsx 供应商概况与承诺.docx 供应商认为有必要提供的其他资料.docx 供应商应提交的相关资格证明材料.docx 投标函 残疾人福利性单位声明函 标的清单 投标文件封面 投标包产品抽样检验周期承诺表.docx 商务偏离表.docx 服务方案.docx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（1）投标文件封面 （2）投标函 （3）法定代表人（主要负责人）授权委托书/身份证明</w:t>
            </w:r>
          </w:p>
        </w:tc>
        <w:tc>
          <w:tcPr>
            <w:tcW w:type="dxa" w:w="1661"/>
          </w:tcPr>
          <w:p>
            <w:pPr>
              <w:pStyle w:val="null3"/>
            </w:pPr>
            <w:r>
              <w:rPr>
                <w:rFonts w:ascii="仿宋_GB2312" w:hAnsi="仿宋_GB2312" w:cs="仿宋_GB2312" w:eastAsia="仿宋_GB2312"/>
              </w:rPr>
              <w:t>供应商应提交的相关资格证明材料.docx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签字盖章均符合招标文件要求，且无 遗漏。</w:t>
            </w:r>
          </w:p>
        </w:tc>
        <w:tc>
          <w:tcPr>
            <w:tcW w:type="dxa" w:w="1661"/>
          </w:tcPr>
          <w:p>
            <w:pPr>
              <w:pStyle w:val="null3"/>
            </w:pPr>
            <w:r>
              <w:rPr>
                <w:rFonts w:ascii="仿宋_GB2312" w:hAnsi="仿宋_GB2312" w:cs="仿宋_GB2312" w:eastAsia="仿宋_GB2312"/>
              </w:rPr>
              <w:t>服务内容及服务要求偏离表.docx 类似抽检品目业绩一览表.docx 采购包3：烟花爆竹等3种产品质量监督抽查响应表.xlsx 中小企业声明函 供应商概况与承诺.docx 供应商认为有必要提供的其他资料.docx 供应商应提交的相关资格证明材料.docx 投标函 残疾人福利性单位声明函 标的清单 投标文件封面 投标包产品抽样检验周期承诺表.docx 商务偏离表.docx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服务内容及服务要求偏离表.docx 类似抽检品目业绩一览表.docx 采购包3：烟花爆竹等3种产品质量监督抽查响应表.xlsx 中小企业声明函 供应商概况与承诺.docx 供应商认为有必要提供的其他资料.docx 供应商应提交的相关资格证明材料.docx 投标函 残疾人福利性单位声明函 标的清单 投标文件封面 投标包产品抽样检验周期承诺表.docx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服务内容及服务要求偏离表.docx 类似抽检品目业绩一览表.docx 采购包3：烟花爆竹等3种产品质量监督抽查响应表.xlsx 中小企业声明函 供应商概况与承诺.docx 供应商认为有必要提供的其他资料.docx 供应商应提交的相关资格证明材料.docx 投标函 残疾人福利性单位声明函 标的清单 投标文件封面 投标包产品抽样检验周期承诺表.docx 商务偏离表.docx 服务方案.docx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（1）投标文件封面 （2）投标函 （3）法定代表人（主要负责人）授权委托书/身份证明</w:t>
            </w:r>
          </w:p>
        </w:tc>
        <w:tc>
          <w:tcPr>
            <w:tcW w:type="dxa" w:w="1661"/>
          </w:tcPr>
          <w:p>
            <w:pPr>
              <w:pStyle w:val="null3"/>
            </w:pPr>
            <w:r>
              <w:rPr>
                <w:rFonts w:ascii="仿宋_GB2312" w:hAnsi="仿宋_GB2312" w:cs="仿宋_GB2312" w:eastAsia="仿宋_GB2312"/>
              </w:rPr>
              <w:t>供应商应提交的相关资格证明材料.docx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签字盖章均符合招标文件要求，且无 遗漏。</w:t>
            </w:r>
          </w:p>
        </w:tc>
        <w:tc>
          <w:tcPr>
            <w:tcW w:type="dxa" w:w="1661"/>
          </w:tcPr>
          <w:p>
            <w:pPr>
              <w:pStyle w:val="null3"/>
            </w:pPr>
            <w:r>
              <w:rPr>
                <w:rFonts w:ascii="仿宋_GB2312" w:hAnsi="仿宋_GB2312" w:cs="仿宋_GB2312" w:eastAsia="仿宋_GB2312"/>
              </w:rPr>
              <w:t>服务内容及服务要求偏离表.docx 类似抽检品目业绩一览表.docx 中小企业声明函 供应商概况与承诺.docx 供应商认为有必要提供的其他资料.docx 采购包4：劳动防护用品口罩类等4类产品质量监督抽查响应表.xlsx 供应商应提交的相关资格证明材料.docx 投标函 残疾人福利性单位声明函 标的清单 投标文件封面 投标包产品抽样检验周期承诺表.docx 商务偏离表.docx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服务内容及服务要求偏离表.docx 类似抽检品目业绩一览表.docx 中小企业声明函 供应商概况与承诺.docx 供应商认为有必要提供的其他资料.docx 采购包4：劳动防护用品口罩类等4类产品质量监督抽查响应表.xlsx 供应商应提交的相关资格证明材料.docx 投标函 残疾人福利性单位声明函 标的清单 投标文件封面 投标包产品抽样检验周期承诺表.docx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服务内容及服务要求偏离表.docx 类似抽检品目业绩一览表.docx 中小企业声明函 供应商概况与承诺.docx 供应商认为有必要提供的其他资料.docx 采购包4：劳动防护用品口罩类等4类产品质量监督抽查响应表.xlsx 供应商应提交的相关资格证明材料.docx 投标函 残疾人福利性单位声明函 标的清单 投标文件封面 投标包产品抽样检验周期承诺表.docx 商务偏离表.docx 服务方案.docx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（1）投标文件封面 （2）投标函 （3）法定代表人（主要负责人）授权委托书/身份证明</w:t>
            </w:r>
          </w:p>
        </w:tc>
        <w:tc>
          <w:tcPr>
            <w:tcW w:type="dxa" w:w="1661"/>
          </w:tcPr>
          <w:p>
            <w:pPr>
              <w:pStyle w:val="null3"/>
            </w:pPr>
            <w:r>
              <w:rPr>
                <w:rFonts w:ascii="仿宋_GB2312" w:hAnsi="仿宋_GB2312" w:cs="仿宋_GB2312" w:eastAsia="仿宋_GB2312"/>
              </w:rPr>
              <w:t>供应商应提交的相关资格证明材料.docx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签字盖章均符合招标文件要求，且无 遗漏。</w:t>
            </w:r>
          </w:p>
        </w:tc>
        <w:tc>
          <w:tcPr>
            <w:tcW w:type="dxa" w:w="1661"/>
          </w:tcPr>
          <w:p>
            <w:pPr>
              <w:pStyle w:val="null3"/>
            </w:pPr>
            <w:r>
              <w:rPr>
                <w:rFonts w:ascii="仿宋_GB2312" w:hAnsi="仿宋_GB2312" w:cs="仿宋_GB2312" w:eastAsia="仿宋_GB2312"/>
              </w:rPr>
              <w:t>采购包5：泵（潜水电泵）等4种产品质量监督抽查响应表.xlsx 服务内容及服务要求偏离表.docx 类似抽检品目业绩一览表.docx 中小企业声明函 供应商概况与承诺.docx 供应商认为有必要提供的其他资料.docx 供应商应提交的相关资格证明材料.docx 投标函 残疾人福利性单位声明函 标的清单 投标文件封面 投标包产品抽样检验周期承诺表.docx 商务偏离表.docx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采购包5：泵（潜水电泵）等4种产品质量监督抽查响应表.xlsx 服务内容及服务要求偏离表.docx 类似抽检品目业绩一览表.docx 中小企业声明函 供应商概况与承诺.docx 供应商认为有必要提供的其他资料.docx 供应商应提交的相关资格证明材料.docx 投标函 残疾人福利性单位声明函 标的清单 投标文件封面 投标包产品抽样检验周期承诺表.docx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采购包5：泵（潜水电泵）等4种产品质量监督抽查响应表.xlsx 服务内容及服务要求偏离表.docx 类似抽检品目业绩一览表.docx 中小企业声明函 供应商概况与承诺.docx 供应商认为有必要提供的其他资料.docx 供应商应提交的相关资格证明材料.docx 投标函 残疾人福利性单位声明函 标的清单 投标文件封面 投标包产品抽样检验周期承诺表.docx 商务偏离表.docx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抽检批次得分</w:t>
            </w:r>
          </w:p>
        </w:tc>
        <w:tc>
          <w:tcPr>
            <w:tcW w:type="dxa" w:w="2492"/>
          </w:tcPr>
          <w:p>
            <w:pPr>
              <w:pStyle w:val="null3"/>
            </w:pPr>
            <w:r>
              <w:rPr>
                <w:rFonts w:ascii="仿宋_GB2312" w:hAnsi="仿宋_GB2312" w:cs="仿宋_GB2312" w:eastAsia="仿宋_GB2312"/>
              </w:rPr>
              <w:t>总抽检批次得分=品目1总抽检批次得分×25%+品目2总抽检批次得分×25%+品目3总抽检批次得分×25%+品目4总抽检批次得分×25% 品目1抽检批次得分：P=10×Pn/Pmax 品目2抽检批次得分：P=10×Pn/Pmax 品目3抽检批次得分：P=10×Pn/Pmax 品目4抽检批次得分：P=10×Pn/Pmax Pmax：所有有效供应商提交的该品目总抽检批次中的最高值。 Pn：第n个供应商的该品目总抽检批次。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采购包1：醇基液体燃料等4种产品质量监督抽查响应表.xlsx</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投标包产品抽样检验周期承诺表》，以该包所有投标人平均抽样检验周期为“基准周期”，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如中标后在实际工作中，每超过《投标包产品抽样检验周期承诺表》中承诺抽样检验周期2天增加1批次抽检产品或扣除中标费0.5%，如超过4天，增加抽检2批次或扣2×0.5%的中标经费，依次累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采购包1：醇基液体燃料等4种产品质量监督抽查响应表.xlsx</w:t>
            </w:r>
          </w:p>
          <w:p>
            <w:pPr>
              <w:pStyle w:val="null3"/>
            </w:pPr>
            <w:r>
              <w:rPr>
                <w:rFonts w:ascii="仿宋_GB2312" w:hAnsi="仿宋_GB2312" w:cs="仿宋_GB2312" w:eastAsia="仿宋_GB2312"/>
              </w:rPr>
              <w:t>投标包产品抽样检验周期承诺表.docx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服务实施方案中需要对本项目的机构内部工作部署、抽样、样品接收及核查、检验、配合异议处理及复检的工作内容和安排、检验结果的处理、保密工作、检验结果数据追溯的实施等内容进行合理安排和制定。 打分要点：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（1）机构内部工作部署方案，6分 方案编写贴近该产品实际抽查工作，要素完整，方案合理、可行，完全满足采购需求，得6分； 方案编写贴近该产品实际抽查工作，要素部分缺失，方案存在缺陷，部分满足招标文件要求，得4分； 方案要素不合理、不完整，难以满足招标文件要求的，得2分； 未提供相关内容，得0分。 （2）抽检服务方案，7分 抽检服务方案包括：抽样工作的具体内容及组织安排；样品接收及核查机制；检验工作的具体内容及要求。 方案编写贴近该产品实际抽查工作，要素完整，方案合理、可行，完全满足采购需求，得7分； 方案编写贴近该产品实际抽查工作，要素基本完整，存在缺陷，部分满足招标文件要求，得5分； 方案未响应、不完整，难以满足招标文件要求的，得3分； 未提供相关内容，得0分。 （3）后期工作方案，6分 后期工作方案包括：配合异议处理及复检的工作内容和安排；检验结果的处理。 方案编写贴近该产品实际抽查工作，要素完整，方案合理、可行，完全满足采购需求，得6分； 方案编写贴近该产品实际抽查工作，要素基本完整，存在缺陷，部分满足招标文件要求，得4分； 方案未响应、不完整，难以满足招标文件要求的，2分。 未提供相关内容，得0分。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一、1.取得《中国合格评定国家认可委员会实验室认可证书》（CNAS）提供有效的认可证书复印件，并附官网查询截图（https://www.cnas.org.cn/）；2.2023年1月至今单位或单位工作人员(须提供聘任、任用证明材料)参加国家标准、行业标准、地方标准制定，提供已发布的标准文本扫描件(加盖单位公章)，或能提供证明投标单位在本标准文件起草单位名单之列或投标单位工作人员在本标准文件起草人名单之列；3.2024年1月至今单位或单位工作人员(须提供聘任、任用证明材料)参与国家、省、市各级科研计划项目，提供科研项目任务书(合同书)，或能提供证明投标单位或投标单位工作人员参与相关科研计划项目佐证材料的。CNAS、标准、科研三个项目，满足其中二项的得5分，满足其中一项的得3分。 二、提供检验项目比对表。具备所投产品的全部检验检测能力，供应商提供的有效资质认定证书（CMA）及附表扫描件，对相应检验项目、检验依据做好明显标记。具备所投包含产品所有全部检验检测能力的，得10分，有缺项的，按品目计算每涉及一品目产品扣2.5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提供职称证、人员身份证以及2025年至今任意三个月养老证明等证明材料。 根据供应商拟投入本项目的人员数量及相关行业职称水平赋分 1.检验人员，6分 具有工业产品质量监督抽查相关专业的中级（含）以上职称检验人员或具有10年（含）以上产品检验工作经历的人员数量≥8人，得6分； 具有工业产品质量监督抽查相关专业的中级（含）以上职称检验人员或具有10年（含）以上产品检验工作经历的人员数量介于4（含）人-7（含）人之间的，得3分； 其余得0分。 2.抽样人员，6分 抽样人员数量≥6人，得6分； 抽样人员数量介于4（含）人-6（不含）人之间的得3分； 其余得0分。 （检验人员需提供劳动合同、参保证明材料、职称证书或10年（含）以上产品检验证明材料等相关证明材料；抽样人员需提供劳动合同、参保证明材料） 二、提供人员职称证书证书和任用证明等证明材料。 项目负责人 该包产品的抽检工作项目负责人（即投标委托人同时负责该产品中标后服务），具有10年（含）以上检验工作经历和副高级职称，得3分；具有10年（含）以上检验工作经历或副高级职称，得2分；否则得0分。 （项目负责人需提供劳动合同、参保证明材料、职称证书、10年（含）以上检验工作经历证明材料）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产业总体情况及质量现状分析方案，5分 产业总体情况及质量现状分析材料（方案中需要对全国及陕西产业分布情况、产业现状、产品的质量现状、应用前景和发展趋势进行分析）： 分析方案完整，具有针对性，具备上述要求的全部内容，得5分； 分析方案基本符合采购要求，但细节有待完善，得4分； 分析方案不够具体，得2分； 分析方案不合理，得1分； 未响应或未提供，得0分。 二、应急保障，4分 重点难点分析及应对措施，应急预案和紧急事件处置措施（涉及因素：人员、时间、距离、地域市场熟悉度）： 重难点理解到位、应对措施合理可行，应急预案详细完整、处置措施针对性强得4分； 重难点理解基本到位、应对措施较为合理可行，应急预案较为详细得2分； 重难点理解及应对措施不合理，应急预案不详细得1分。 未响应或未提供，得0分。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⑴承诺：中标后我单位将在合同履约期限内随时服从采购人产品质量监督抽查工作部署，优先实施中标产品质量监督抽查服务，并按采购人规定时限和抽样产品品牌规格价格要求不折不扣地完成中标数量（批次）抽样检验服务工作； ⑵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 ⑶承诺：运用陕西省市场监督管理局产品质量监督信息系统，按照《中华人民共和国产品质量法》《产品质量监督抽查管理暂行办法》《产品质量监督抽查委托协议》《产品质量监督抽查的通知》要求完成各项工作。 （4）承诺：中标后在投标文件中所承诺的事宜未兑现，采购人在认定我单位失信行为后,有权解除所签订的技术服务协议，解除协议之前中所产生的费用采购人不予支付，由我单位自行承担。 须有以上4项独立的符合要求的加盖公章的服务承诺书。每提供１项的得1分，共4分。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每提供１个品目产品的描述的得1分，此项总得分不超过4分。 二、供应商提供2024年1月至今类似抽检品目业绩（1.承担市级及以上认证部门有效性抽查、2.承担市级及以上质量监督部门的质量监督抽查或风险监测，以完整合同（协议）或委托书复印件加盖公章及签订时间为准。每提供1份得2分（同一品目可累积得分），最多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类似抽检品目业绩一览表.docx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抽检批次得分</w:t>
            </w:r>
          </w:p>
        </w:tc>
        <w:tc>
          <w:tcPr>
            <w:tcW w:type="dxa" w:w="2492"/>
          </w:tcPr>
          <w:p>
            <w:pPr>
              <w:pStyle w:val="null3"/>
            </w:pPr>
            <w:r>
              <w:rPr>
                <w:rFonts w:ascii="仿宋_GB2312" w:hAnsi="仿宋_GB2312" w:cs="仿宋_GB2312" w:eastAsia="仿宋_GB2312"/>
              </w:rPr>
              <w:t>总抽检批次得分=品目1总抽检批次得分×20%+品目2总抽检批次得分×20%+品目3总抽检批次得分×20%+品目4总抽检批次得分×20%+品目5总抽检批次得分×20% 品目1抽检批次得分：P=10×Pn/Pmax 品目2抽检批次得分：P=10×Pn/Pmax 品目3抽检批次得分：P=10×Pn/Pmax 品目4抽检批次得分：P=10×Pn/Pmax 品目5抽检批次得分：P=10×Pn/Pmax Pmax：所有有效供应商提交的该品目总抽检批次中的最高值。 Pn：第n个供应商的该品目总抽检批次。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采购包2：油墨等5种产品质量监督抽查响应表.xlsx</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投标包产品抽样检验周期承诺表》，以该包所有投标人平均抽样检验周期为“基准周期”，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如中标后在实际工作中，每超过《投标包产品抽样检验周期承诺表》中承诺抽样检验周期2天增加1批次抽检产品或扣除中标费0.5%，如超过4天，增加抽检2批次或扣2×0.5%的中标经费，依次累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投标包产品抽样检验周期承诺表.docx</w:t>
            </w:r>
          </w:p>
          <w:p>
            <w:pPr>
              <w:pStyle w:val="null3"/>
            </w:pPr>
            <w:r>
              <w:rPr>
                <w:rFonts w:ascii="仿宋_GB2312" w:hAnsi="仿宋_GB2312" w:cs="仿宋_GB2312" w:eastAsia="仿宋_GB2312"/>
              </w:rPr>
              <w:t>采购包2：油墨等5种产品质量监督抽查响应表.xlsx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服务实施方案中需要对本项目的机构内部工作部署、抽样、样品接收及核查、检验、配合异议处理及复检的工作内容和安排、检验结果的处理、保密工作、检验结果数据追溯的实施等内容进行合理安排和制定。 打分要点：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（1）机构内部工作部署方案，6分 方案编写贴近该产品实际抽查工作，要素完整，方案合理、可行，完全满足采购需求，得6分； 方案编写贴近该产品实际抽查工作，要素部分缺失，方案存在缺陷，部分满足招标文件要求，得4分； 方案要素不合理、不完整，难以满足招标文件要求的，得2分； 未提供相关内容，得0分。 （2）抽检服务方案，7分 抽检服务方案包括：抽样工作的具体内容及组织安排；样品接收及核查机制；检验工作的具体内容及要求。 方案编写贴近该产品实际抽查工作，要素完整，方案合理、可行，完全满足采购需求，得7分； 方案编写贴近该产品实际抽查工作，要素基本完整，存在缺陷，部分满足招标文件要求，得5分； 方案未响应、不完整，难以满足招标文件要求的，得3分； 未提供相关内容，得0分。 （3）后期工作方案，6分 后期工作方案包括：配合异议处理及复检的工作内容和安排；检验结果的处理。 方案编写贴近该产品实际抽查工作，要素完整，方案合理、可行，完全满足采购需求，得6分； 方案编写贴近该产品实际抽查工作，要素基本完整，存在缺陷，部分满足招标文件要求，得4分； 方案未响应、不完整，难以满足招标文件要求的，2分。 未提供相关内容，得0分。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一、1.取得《中国合格评定国家认可委员会实验室认可证书》（CNAS）提供有效的认可证书复印件，并附官网查询截图（https://www.cnas.org.cn/）；2.2023年1月至今单位或单位工作人员(须提供聘任、任用证明材料)参加国家标准、行业标准、地方标准制定，提供已发布的标准文本扫描件(加盖单位公章)，或能提供证明投标单位在本标准文件起草单位名单之列或投标单位工作人员在本标准文件起草人名单之列；3.2024年1月至今单位或单位工作人员(须提供聘任、任用证明材料)参与国家、省、市各级科研计划项目，提供科研项目任务书(合同书)，或能提供证明投标单位或投标单位工作人员参与相关科研计划项目佐证材料的。CNAS、标准、科研三个项目，满足其中二项的得5分，满足其中一项的得3分。 二、提供检验项目比对表。具备所投产品的全部检验检测能力，供应商提供的有效资质认定证书（CMA）及附表扫描件，对相应检验项目、检验依据做好明显标记。具备所投包含产品所有全部检验检测能力的，得10分，有缺项的，按品目计算每涉及一品目产品扣2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提供职称证、人员身份证以及2025年至今任意三个月养老证明等证明材料。 根据供应商拟投入本项目的人员数量及相关行业职称水平赋分 1.检验人员，6分 具有工业产品质量监督抽查相关专业的中级（含）以上职称检验人员或具有10年（含）以上产品检验工作经历的人员数量≥8人，得6分； 具有工业产品质量监督抽查相关专业的中级（含）以上职称检验人员或具有10年（含）以上产品检验工作经历的人员数量介于4（含）人-7（含）人之间的，得3分； 其余得0分。 2.抽样人员，6分 抽样人员数量≥6人，得6分； 抽样人员数量介于4（含）人-6（不含）人之间的得3分； 其余得0分。 （检验人员需提供劳动合同、参保证明材料、职称证书或10年（含）以上产品检验证明材料等相关证明材料；抽样人员需提供劳动合同、参保证明材料） 二、提供人员职称证书证书和任用证明等证明材料。 项目负责人 该包产品的抽检工作项目负责人（即投标委托人同时负责该产品中标后服务），具有10年（含）以上检验工作经历和副高级职称，得3分；具有10年（含）以上检验工作经历或副高级职称，得2分；否则得0分。 （项目负责人需提供劳动合同、参保证明材料、职称证书、10年（含）以上检验工作经历证明材料）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产业总体情况及质量现状分析方案，5分 产业总体情况及质量现状分析材料（方案中需要对全国及陕西产业分布情况、产业现状、产品的质量现状、应用前景和发展趋势进行分析）： 分析方案完整，具有针对性，具备上述要求的全部内容，得5分； 分析方案基本符合采购要求，但细节有待完善，得4分； 分析方案不够具体，得2分； 分析方案不合理，得1分； 未响应或未提供，得0分。 二、应急保障，4分 重点难点分析及应对措施，应急预案和紧急事件处置措施（涉及因素：人员、时间、距离、地域市场熟悉度）： 重难点理解到位、应对措施合理可行，应急预案详细完整、处置措施针对性强得4分； 重难点理解基本到位、应对措施较为合理可行，应急预案较为详细得2分； 重难点理解及应对措施不合理，应急预案不详细得1分。 未响应或未提供，得0分。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⑴承诺：中标后我单位将在合同履约期限内随时服从采购人产品质量监督抽查工作部署，优先实施中标产品质量监督抽查服务，并按采购人规定时限和抽样产品品牌规格价格要求不折不扣地完成中标数量（批次）抽样检验服务工作； ⑵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 ⑶承诺：运用陕西省市场监督管理局产品质量监督信息系统，按照《中华人民共和国产品质量法》《产品质量监督抽查管理暂行办法》《产品质量监督抽查委托协议》《产品质量监督抽查的通知》要求完成各项工作。 （4）承诺：中标后在投标文件中所承诺的事宜未兑现，采购人在认定我单位失信行为后,有权解除所签订的技术服务协议，解除协议之前中所产生的费用采购人不予支付，由我单位自行承担。 须有以上4项独立的符合要求的加盖公章的服务承诺书。每提供１项的得1分，共4分。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每提供１个品目产品的描述的得1分，此项总得分不超过4分。 二、供应商提供2024年1月至今类似抽检品目业绩（1.承担市级及以上认证部门有效性抽查、2.承担市级及以上质量监督部门的质量监督抽查或风险监测，以完整合同（协议）或委托书复印件加盖公章及签订时间为准。每提供1份得2分（同一品目可累积得分），最多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类似抽检品目业绩一览表.docx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抽检批次得分</w:t>
            </w:r>
          </w:p>
        </w:tc>
        <w:tc>
          <w:tcPr>
            <w:tcW w:type="dxa" w:w="2492"/>
          </w:tcPr>
          <w:p>
            <w:pPr>
              <w:pStyle w:val="null3"/>
            </w:pPr>
            <w:r>
              <w:rPr>
                <w:rFonts w:ascii="仿宋_GB2312" w:hAnsi="仿宋_GB2312" w:cs="仿宋_GB2312" w:eastAsia="仿宋_GB2312"/>
              </w:rPr>
              <w:t>总抽检批次得分=品目1总抽检批次得分×35%+品目2总抽检批次得分×35%+品目3总抽检批次得分×30% 品目1抽检批次得分：P=10×Pn/Pmax 品目2抽检批次得分：P=10×Pn/Pmax 品目3抽检批次得分：P=10×Pn/Pmax Pmax：所有有效供应商提交的该品目总抽检批次中的最高值。 Pn：第n个供应商的该品目总抽检批次。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采购包3：烟花爆竹等3种产品质量监督抽查响应表.xlsx</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投标包产品抽样检验周期承诺表》，以该包所有投标人平均抽样检验周期为“基准周期”，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如中标后在实际工作中，每超过《投标包产品抽样检验周期承诺表》中承诺抽样检验周期2天增加1批次抽检产品或扣除中标费0.5%，如超过4天，增加抽检2批次或扣2×0.5%的中标经费，依次累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投标包产品抽样检验周期承诺表.docx</w:t>
            </w:r>
          </w:p>
          <w:p>
            <w:pPr>
              <w:pStyle w:val="null3"/>
            </w:pPr>
            <w:r>
              <w:rPr>
                <w:rFonts w:ascii="仿宋_GB2312" w:hAnsi="仿宋_GB2312" w:cs="仿宋_GB2312" w:eastAsia="仿宋_GB2312"/>
              </w:rPr>
              <w:t>采购包3：烟花爆竹等3种产品质量监督抽查响应表.xlsx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服务实施方案中需要对本项目的机构内部工作部署、抽样、样品接收及核查、检验、配合异议处理及复检的工作内容和安排、检验结果的处理、保密工作、检验结果数据追溯的实施等内容进行合理安排和制定。 打分要点：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（1）机构内部工作部署方案，6分 方案编写贴近该产品实际抽查工作，要素完整，方案合理、可行，完全满足采购需求，得6分； 方案编写贴近该产品实际抽查工作，要素部分缺失，方案存在缺陷，部分满足招标文件要求，得4分； 方案要素不合理、不完整，难以满足招标文件要求的，得2分； 未提供相关内容，得0分。 （2）抽检服务方案，7分 抽检服务方案包括：抽样工作的具体内容及组织安排；样品接收及核查机制；检验工作的具体内容及要求。 方案编写贴近该产品实际抽查工作，要素完整，方案合理、可行，完全满足采购需求，得7分； 方案编写贴近该产品实际抽查工作，要素基本完整，存在缺陷，部分满足招标文件要求，得5分； 方案未响应、不完整，难以满足招标文件要求的，得3分； 未提供相关内容，得0分。 （3）后期工作方案，6分 后期工作方案包括：配合异议处理及复检的工作内容和安排；检验结果的处理。 方案编写贴近该产品实际抽查工作，要素完整，方案合理、可行，完全满足采购需求，得6分； 方案编写贴近该产品实际抽查工作，要素基本完整，存在缺陷，部分满足招标文件要求，得4分； 方案未响应、不完整，难以满足招标文件要求的，2分。 未提供相关内容，得0分。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一、1.取得《中国合格评定国家认可委员会实验室认可证书》（CNAS）提供有效的认可证书复印件，并附官网查询截图（https://www.cnas.org.cn/）；2.2023年1月至今单位或单位工作人员(须提供聘任、任用证明材料)参加国家标准、行业标准、地方标准制定，提供已发布的标准文本扫描件(加盖单位公章)，或能提供证明投标单位在本标准文件起草单位名单之列或投标单位工作人员在本标准文件起草人名单之列；3.2024年1月至今单位或单位工作人员(须提供聘任、任用证明材料)参与国家、省、市各级科研计划项目，提供科研项目任务书(合同书)，或能提供证明投标单位或投标单位工作人员参与相关科研计划项目佐证材料的。CNAS、标准、科研三个项目，满足其中二项的得5分，满足其中一项的得3分。 二、提供检验项目比对表。具备所投产品的全部检验检测能力，供应商提供的有效资质认定证书（CMA）及附表扫描件，对相应检验项目、检验依据做好明显标记。具备所投包含产品所有全部检验检测能力的，得10分，有缺项的，按品目计算每涉及一品目产品扣3.5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提供职称证、人员身份证以及2025年至今任意三个月养老证明等证明材料。 根据供应商拟投入本项目的人员数量及相关行业职称水平赋分 1.检验人员，6分 具有工业产品质量监督抽查相关专业的中级（含）以上职称检验人员或具有10年（含）以上产品检验工作经历的人员数量≥8人，得6分； 具有工业产品质量监督抽查相关专业的中级（含）以上职称检验人员或具有10年（含）以上产品检验工作经历的人员数量介于4（含）人-7（含）人之间的，得3分； 其余得0分。 2.抽样人员，6分 抽样人员数量≥6人，得6分； 抽样人员数量介于4（含）人-6（不含）人之间的得3分； 其余得0分。 （检验人员需提供劳动合同、参保证明材料、职称证书或10年（含）以上产品检验证明材料等相关证明材料；抽样人员需提供劳动合同、参保证明材料） 二、提供人员职称证书证书和任用证明等证明材料。 项目负责人 该包产品的抽检工作项目负责人（即投标委托人同时负责该产品中标后服务），具有10年（含）以上检验工作经历和副高级职称，得3分；具有10年（含）以上检验工作经历或副高级职称，得2分；否则得0分。 （项目负责人需提供劳动合同、参保证明材料、职称证书、10年（含）以上检验工作经历证明材料）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3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产业总体情况及质量现状分析方案，5分 产业总体情况及质量现状分析材料（方案中需要对全国及陕西产业分布情况、产业现状、产品的质量现状、应用前景和发展趋势进行分析）： 分析方案完整，具有针对性，具备上述要求的全部内容，得5分； 分析方案基本符合采购要求，但细节有待完善，得4分； 分析方案不够具体，得2分； 分析方案不合理，得1分； 未响应或未提供，得0分。 二、应急保障，4分 重点难点分析及应对措施，应急预案和紧急事件处置措施（涉及因素：人员、时间、距离、地域市场熟悉度）： 重难点理解到位、应对措施合理可行，应急预案详细完整、处置措施针对性强得4分； 重难点理解基本到位、应对措施较为合理可行，应急预案较为详细得2分； 重难点理解及应对措施不合理，应急预案不详细得1分。 未响应或未提供，得0分。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⑴承诺：中标后我单位将在合同履约期限内随时服从采购人产品质量监督抽查工作部署，优先实施中标产品质量监督抽查服务，并按采购人规定时限和抽样产品品牌规格价格要求不折不扣地完成中标数量（批次）抽样检验服务工作； ⑵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 ⑶承诺：运用陕西省市场监督管理局产品质量监督信息系统，按照《中华人民共和国产品质量法》《产品质量监督抽查管理暂行办法》《产品质量监督抽查委托协议》《产品质量监督抽查的通知》要求完成各项工作。 （4）承诺：中标后在投标文件中所承诺的事宜未兑现，采购人在认定我单位失信行为后,有权解除所签订的技术服务协议，解除协议之前中所产生的费用采购人不予支付，由我单位自行承担。 须有以上4项独立的符合要求的加盖公章的服务承诺书。每提供１项的得1分，共4分。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每提供１个品目产品的描述的得1.5分，此项总得分不超过4分。 二、供应商提供2024年1月至今类似抽检品目业绩（1.承担市级及以上认证部门有效性抽查、2.承担市级及以上质量监督部门的质量监督抽查或风险监测，以完整合同（协议）或委托书复印件加盖公章及签订时间为准。每提供1份得2分（同一品目可累积得分），最多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类似抽检品目业绩一览表.docx</w:t>
            </w:r>
          </w:p>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抽检批次得分</w:t>
            </w:r>
          </w:p>
        </w:tc>
        <w:tc>
          <w:tcPr>
            <w:tcW w:type="dxa" w:w="2492"/>
          </w:tcPr>
          <w:p>
            <w:pPr>
              <w:pStyle w:val="null3"/>
            </w:pPr>
            <w:r>
              <w:rPr>
                <w:rFonts w:ascii="仿宋_GB2312" w:hAnsi="仿宋_GB2312" w:cs="仿宋_GB2312" w:eastAsia="仿宋_GB2312"/>
              </w:rPr>
              <w:t>总抽检批次得分=品目1总抽检批次得分×25%+品目2总抽检批次得分×25%+品目3总抽检批次得分×25%+品目4总抽检批次得分×25% 品目1抽检批次得分：P=10×Pn/Pmax 品目2抽检批次得分：P=10×Pn/Pmax 品目3抽检批次得分：P=10×Pn/Pmax 品目4抽检批次得分：P=10×Pn/Pmax Pmax：所有有效供应商提交的该品目总抽检批次中的最高值。 Pn：第n个供应商的该品目总抽检批次。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采购包4：劳动防护用品口罩类等4类产品质量监督抽查响应表.xlsx</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投标包产品抽样检验周期承诺表》，以该包所有投标人平均抽样检验周期为“基准周期”，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如中标后在实际工作中，每超过《投标包产品抽样检验周期承诺表》中承诺抽样检验周期2天增加1批次抽检产品或扣除中标费0.5%，如超过4天，增加抽检2批次或扣2×0.5%的中标经费，依次累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投标包产品抽样检验周期承诺表.docx</w:t>
            </w:r>
          </w:p>
          <w:p>
            <w:pPr>
              <w:pStyle w:val="null3"/>
            </w:pPr>
            <w:r>
              <w:rPr>
                <w:rFonts w:ascii="仿宋_GB2312" w:hAnsi="仿宋_GB2312" w:cs="仿宋_GB2312" w:eastAsia="仿宋_GB2312"/>
              </w:rPr>
              <w:t>采购包4：劳动防护用品口罩类等4类产品质量监督抽查响应表.xlsx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服务实施方案中需要对本项目的机构内部工作部署、抽样、样品接收及核查、检验、配合异议处理及复检的工作内容和安排、检验结果的处理、保密工作、检验结果数据追溯的实施等内容进行合理安排和制定。 打分要点：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（1）机构内部工作部署方案，6分 方案编写贴近该产品实际抽查工作，要素完整，方案合理、可行，完全满足采购需求，得6分； 方案编写贴近该产品实际抽查工作，要素部分缺失，方案存在缺陷，部分满足招标文件要求，得4分； 方案要素不合理、不完整，难以满足招标文件要求的，得2分； 未提供相关内容，得0分。 （2）抽检服务方案，7分 抽检服务方案包括：抽样工作的具体内容及组织安排；样品接收及核查机制；检验工作的具体内容及要求。 方案编写贴近该产品实际抽查工作，要素完整，方案合理、可行，完全满足采购需求，得7分； 方案编写贴近该产品实际抽查工作，要素基本完整，存在缺陷，部分满足招标文件要求，得5分； 方案未响应、不完整，难以满足招标文件要求的，得3分； 未提供相关内容，得0分。 （3）后期工作方案，6分 后期工作方案包括：配合异议处理及复检的工作内容和安排；检验结果的处理。 方案编写贴近该产品实际抽查工作，要素完整，方案合理、可行，完全满足采购需求，得6分； 方案编写贴近该产品实际抽查工作，要素基本完整，存在缺陷，部分满足招标文件要求，得4分； 方案未响应、不完整，难以满足招标文件要求的，2分。 未提供相关内容，得0分。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一、1.取得《中国合格评定国家认可委员会实验室认可证书》（CNAS）提供有效的认可证书复印件，并附官网查询截图（https://www.cnas.org.cn/）；2.2023年1月至今单位或单位工作人员(须提供聘任、任用证明材料)参加国家标准、行业标准、地方标准制定，提供已发布的标准文本扫描件(加盖单位公章)，或能提供证明投标单位在本标准文件起草单位名单之列或投标单位工作人员在本标准文件起草人名单之列；3.2024年1月至今单位或单位工作人员(须提供聘任、任用证明材料)参与国家、省、市各级科研计划项目，提供科研项目任务书(合同书)，或能提供证明投标单位或投标单位工作人员参与相关科研计划项目佐证材料的。CNAS、标准、科研三个项目，满足其中二项的得5分，满足其中一项的得3分。 二、提供检验项目比对表。具备所投产品的全部检验检测能力，供应商提供的有效资质认定证书（CMA）及附表扫描件，对相应检验项目、检验依据做好明显标记。具备所投包含产品所有全部检验检测能力的，得10分，有缺项的，按品目计算每涉及一品目产品扣2.5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提供职称证、人员身份证以及2025年至今任意三个月养老证明等证明材料。 根据供应商拟投入本项目的人员数量及相关行业职称水平赋分 1.检验人员，6分 具有工业产品质量监督抽查相关专业的中级（含）以上职称检验人员或具有10年（含）以上产品检验工作经历的人员数量≥8人，得6分； 具有工业产品质量监督抽查相关专业的中级（含）以上职称检验人员或具有10年（含）以上产品检验工作经历的人员数量介于4（含）人-7（含）人之间的，得3分； 其余得0分。 2.抽样人员，6分 抽样人员数量≥6人，得6分； 抽样人员数量介于4（含）人-6（不含）人之间的得3分； 其余得0分。 （检验人员需提供劳动合同、参保证明材料、职称证书或10年（含）以上产品检验证明材料等相关证明材料；抽样人员需提供劳动合同、参保证明材料） 二、提供人员职称证书证书和任用证明等证明材料。 项目负责人 该包产品的抽检工作项目负责人（即投标委托人同时负责该产品中标后服务），具有10年（含）以上检验工作经历和副高级职称，得3分；具有10年（含）以上检验工作经历或副高级职称，得2分；否则得0分。 （项目负责人需提供劳动合同、参保证明材料、职称证书、10年（含）以上检验工作经历证明材料）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产业总体情况及质量现状分析方案，5分 产业总体情况及质量现状分析材料（方案中需要对全国及陕西产业分布情况、产业现状、产品的质量现状、应用前景和发展趋势进行分析）： 分析方案完整，具有针对性，具备上述要求的全部内容，得5分； 分析方案基本符合采购要求，但细节有待完善，得4分； 分析方案不够具体，得2分； 分析方案不合理，得1分； 未响应或未提供，得0分。 二、应急保障，4分 重点难点分析及应对措施，应急预案和紧急事件处置措施（涉及因素：人员、时间、距离、地域市场熟悉度）： 重难点理解到位、应对措施合理可行，应急预案详细完整、处置措施针对性强得4分； 重难点理解基本到位、应对措施较为合理可行，应急预案较为详细得2分； 重难点理解及应对措施不合理，应急预案不详细得1分。 未响应或未提供，得0分。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⑴承诺：中标后我单位将在合同履约期限内随时服从采购人产品质量监督抽查工作部署，优先实施中标产品质量监督抽查服务，并按采购人规定时限和抽样产品品牌规格价格要求不折不扣地完成中标数量（批次）抽样检验服务工作； ⑵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 ⑶承诺：运用陕西省市场监督管理局产品质量监督信息系统，按照《中华人民共和国产品质量法》《产品质量监督抽查管理暂行办法》《产品质量监督抽查委托协议》《产品质量监督抽查的通知》要求完成各项工作。 （4）承诺：中标后在投标文件中所承诺的事宜未兑现，采购人在认定我单位失信行为后,有权解除所签订的技术服务协议，解除协议之前中所产生的费用采购人不予支付，由我单位自行承担。 须有以上4项独立的符合要求的加盖公章的服务承诺书。每提供１项的得1分，共4分。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每提供１个品目产品的描述的得1分，此项总得分不超过4分。 二、供应商提供2024年1月至今类似抽检品目业绩（1.承担市级及以上认证部门有效性抽查、2.承担市级及以上质量监督部门的质量监督抽查或风险监测，以完整合同（协议）或委托书复印件加盖公章及签订时间为准。每提供1份得2分（同一品目可累积得分），最多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类似抽检品目业绩一览表.docx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抽检批次得分</w:t>
            </w:r>
          </w:p>
        </w:tc>
        <w:tc>
          <w:tcPr>
            <w:tcW w:type="dxa" w:w="2492"/>
          </w:tcPr>
          <w:p>
            <w:pPr>
              <w:pStyle w:val="null3"/>
            </w:pPr>
            <w:r>
              <w:rPr>
                <w:rFonts w:ascii="仿宋_GB2312" w:hAnsi="仿宋_GB2312" w:cs="仿宋_GB2312" w:eastAsia="仿宋_GB2312"/>
              </w:rPr>
              <w:t>总抽检批次得分=品目1总抽检批次得分×25%+品目2总抽检批次得分×25%+品目3总抽检批次得分×25%+品目4总抽检批次得分×25% 品目1抽检批次得分：P=10×Pn/Pmax 品目2抽检批次得分：P=10×Pn/Pmax 品目3抽检批次得分：P=10×Pn/Pmax 品目4抽检批次得分：P=10×Pn/Pmax Pmax：所有有效供应商提交的该品目总抽检批次中的最高值。 Pn：第n个供应商的该品目总抽检批次。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采购包5：泵（潜水电泵）等4种产品质量监督抽查响应表.xlsx</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投标包产品抽样检验周期承诺表》，以该包所有投标人平均抽样检验周期为“基准周期”，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如中标后在实际工作中，每超过《投标包产品抽样检验周期承诺表》中承诺抽样检验周期2天增加1批次抽检产品或扣除中标费0.5%，如超过4天，增加抽检2批次或扣2×0.5%的中标经费，依次累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投标包产品抽样检验周期承诺表.docx</w:t>
            </w:r>
          </w:p>
          <w:p>
            <w:pPr>
              <w:pStyle w:val="null3"/>
            </w:pPr>
            <w:r>
              <w:rPr>
                <w:rFonts w:ascii="仿宋_GB2312" w:hAnsi="仿宋_GB2312" w:cs="仿宋_GB2312" w:eastAsia="仿宋_GB2312"/>
              </w:rPr>
              <w:t>采购包5：泵（潜水电泵）等4种产品质量监督抽查响应表.xlsx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服务实施方案中需要对本项目的机构内部工作部署、抽样、样品接收及核查、检验、配合异议处理及复检的工作内容和安排、检验结果的处理、保密工作、检验结果数据追溯的实施等内容进行合理安排和制定。 打分要点：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（1）机构内部工作部署方案，6分 方案编写贴近该产品实际抽查工作，要素完整，方案合理、可行，完全满足采购需求，得6分； 方案编写贴近该产品实际抽查工作，要素部分缺失，方案存在缺陷，部分满足招标文件要求，得4分； 方案要素不合理、不完整，难以满足招标文件要求的，得2分； 未提供相关内容，得0分。 （2）抽检服务方案，7分 抽检服务方案包括：抽样工作的具体内容及组织安排；样品接收及核查机制；检验工作的具体内容及要求。 方案编写贴近该产品实际抽查工作，要素完整，方案合理、可行，完全满足采购需求，得7分； 方案编写贴近该产品实际抽查工作，要素基本完整，存在缺陷，部分满足招标文件要求，得5分； 方案未响应、不完整，难以满足招标文件要求的，得3分； 未提供相关内容，得0分。 （3）后期工作方案，6分 后期工作方案包括：配合异议处理及复检的工作内容和安排；检验结果的处理。 方案编写贴近该产品实际抽查工作，要素完整，方案合理、可行，完全满足采购需求，得6分； 方案编写贴近该产品实际抽查工作，要素基本完整，存在缺陷，部分满足招标文件要求，得4分； 方案未响应、不完整，难以满足招标文件要求的，2分。 未提供相关内容，得0分。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一、1.取得《中国合格评定国家认可委员会实验室认可证书》（CNAS）提供有效的认可证书复印件，并附官网查询截图（https://www.cnas.org.cn/）；2.2023年1月至今单位或单位工作人员(须提供聘任、任用证明材料)参加国家标准、行业标准、地方标准或参与国家监督抽查细则方案制定，提供已发布的标准文本扫描件(加盖单位公章)，或能提供证明投标单位在本标准文件起草单位名单之列或投标单位工作人员在本标准文件起草人名单之列；3.2024年1月至今单位或单位工作人员(须提供聘任、任用证明材料)参与国家、省、市各级科研计划项目，提供科研项目任务书(合同书)，或能提供证明投标单位或投标单位工作人员参与相关科研计划项目佐证材料的。CNAS、标准、科研三个项目，满足其中二项的得5分，满足其中一项的得3分。 二、提供检验项目比对表。具备所投产品的全部检验检测能力，供应商提供的有效资质认定证书（CMA）及附表扫描件，对相应检验项目、检验依据做好明显标记。具备所投包含产品所有全部检验检测能力的，得10分，有缺项的，按品目计算每涉及一品目产品扣2.5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提供职称证、人员身份证以及2025年至今任意三个月养老证明等证明材料。 根据供应商拟投入本项目的人员数量及相关行业职称水平赋分 1.检验人员，6分 具有工业产品质量监督抽查相关专业的中级（含）以上职称检验人员或具有10年（含）以上产品检验工作经历的人员数量≥6人，得6分； 具有工业产品质量监督抽查相关专业的中级（含）以上职称检验人员或具有10年（含）以上产品检验工作经历的人员数量介于4（含）人-5（含）人之间的，得3分； 其余得0分。 2.抽样人员，6分 抽样人员数量≥6人，得6分； 抽样人员数量介于4（含）人-6（不含）人之间的得3分； 其余得0分。 （检验人员需提供劳动合同、参保证明材料、职称证书或10年（含）以上产品检验证明材料等相关证明材料；抽样人员需提供劳动合同、参保证明材料） 二、提供人员职称证书证书和任用证明等证明材料。 项目负责人 该包产品的抽检工作项目负责人（即投标委托人同时负责该产品中标后服务），具有10年（含）以上检验工作经历和副高级职称，得3分；具有10年（含）以上检验工作经历或副高级职称，得2分；否则得0分。 （项目负责人需提供劳动合同、参保证明材料、职称证书、10年（含）以上检验工作经历证明材料）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能证明设备为自主拥有的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产业总体情况及质量现状分析方案，5分 产业总体情况及质量现状分析材料（方案中需要对全国及陕西产业分布情况、产业现状、产品的质量现状、应用前景和发展趋势进行分析）： 分析方案完整，具有针对性，具备上述要求的全部内容，得5分； 分析方案基本符合采购要求，但细节有待完善，得4分； 分析方案不够具体，得2分； 分析方案不合理，得1分； 未响应或未提供，得0分。 二、应急保障，4分 重点难点分析及应对措施，应急预案和紧急事件处置措施（涉及因素：人员、时间、距离、地域市场熟悉度）： 重难点理解到位、应对措施合理可行，应急预案详细完整、处置措施针对性强得4分； 重难点理解基本到位、应对措施较为合理可行，应急预案较为详细得2分； 重难点理解及应对措施不合理，应急预案不详细得1分。 未响应或未提供，得0分。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⑴承诺：中标后我单位将在合同履约期限内随时服从采购人产品质量监督抽查工作部署，优先实施中标产品质量监督抽查服务，并按采购人规定时限和抽样产品品牌规格价格要求不折不扣地完成中标数量（批次）抽样检验服务工作； ⑵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 ⑶承诺：运用陕西省市场监督管理局产品质量监督信息系统，按照《中华人民共和国产品质量法》《产品质量监督抽查管理暂行办法》《产品质量监督抽查委托协议》《产品质量监督抽查的通知》要求完成各项工作。 （4）承诺：中标后在投标文件中所承诺的事宜未兑现，采购人在认定我单位失信行为后,有权解除所签订的技术服务协议，解除协议之前中所产生的费用采购人不予支付，由我单位自行承担。 须有以上4项独立的符合要求的加盖公章的服务承诺书。每提供１项的得1分，共4分。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每提供１个品目产品的描述的得1分，此项总得分不超过4分。 二、供应商提供2024年1月至今类似抽检品目业绩（1.承担市级及以上认证部门有效性抽查、2.承担市级及以上质量监督部门的质量监督抽查或风险监测，以完整合同（协议）或委托书复印件加盖公章及签订时间为准。每提供1份得2分（同一品目可累积得分），最多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类似抽检品目业绩一览表.docx</w:t>
            </w:r>
          </w:p>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详见附件：投标包产品抽样检验周期承诺表.docx</w:t>
      </w:r>
    </w:p>
    <w:p>
      <w:pPr>
        <w:pStyle w:val="null3"/>
        <w:ind w:firstLine="960"/>
      </w:pPr>
      <w:r>
        <w:rPr>
          <w:rFonts w:ascii="仿宋_GB2312" w:hAnsi="仿宋_GB2312" w:cs="仿宋_GB2312" w:eastAsia="仿宋_GB2312"/>
        </w:rPr>
        <w:t>详见附件：类似抽检品目业绩一览表.docx</w:t>
      </w:r>
    </w:p>
    <w:p>
      <w:pPr>
        <w:pStyle w:val="null3"/>
        <w:ind w:firstLine="960"/>
      </w:pPr>
      <w:r>
        <w:rPr>
          <w:rFonts w:ascii="仿宋_GB2312" w:hAnsi="仿宋_GB2312" w:cs="仿宋_GB2312" w:eastAsia="仿宋_GB2312"/>
        </w:rPr>
        <w:t>详见附件：采购包1：醇基液体燃料等4种产品质量监督抽查响应表.xlsx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详见附件：投标包产品抽样检验周期承诺表.docx</w:t>
      </w:r>
    </w:p>
    <w:p>
      <w:pPr>
        <w:pStyle w:val="null3"/>
        <w:ind w:firstLine="960"/>
      </w:pPr>
      <w:r>
        <w:rPr>
          <w:rFonts w:ascii="仿宋_GB2312" w:hAnsi="仿宋_GB2312" w:cs="仿宋_GB2312" w:eastAsia="仿宋_GB2312"/>
        </w:rPr>
        <w:t>详见附件：类似抽检品目业绩一览表.docx</w:t>
      </w:r>
    </w:p>
    <w:p>
      <w:pPr>
        <w:pStyle w:val="null3"/>
        <w:ind w:firstLine="960"/>
      </w:pPr>
      <w:r>
        <w:rPr>
          <w:rFonts w:ascii="仿宋_GB2312" w:hAnsi="仿宋_GB2312" w:cs="仿宋_GB2312" w:eastAsia="仿宋_GB2312"/>
        </w:rPr>
        <w:t>详见附件：采购包2：油墨等5种产品质量监督抽查响应表.xlsx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详见附件：投标包产品抽样检验周期承诺表.docx</w:t>
      </w:r>
    </w:p>
    <w:p>
      <w:pPr>
        <w:pStyle w:val="null3"/>
        <w:ind w:firstLine="960"/>
      </w:pPr>
      <w:r>
        <w:rPr>
          <w:rFonts w:ascii="仿宋_GB2312" w:hAnsi="仿宋_GB2312" w:cs="仿宋_GB2312" w:eastAsia="仿宋_GB2312"/>
        </w:rPr>
        <w:t>详见附件：类似抽检品目业绩一览表.docx</w:t>
      </w:r>
    </w:p>
    <w:p>
      <w:pPr>
        <w:pStyle w:val="null3"/>
        <w:ind w:firstLine="960"/>
      </w:pPr>
      <w:r>
        <w:rPr>
          <w:rFonts w:ascii="仿宋_GB2312" w:hAnsi="仿宋_GB2312" w:cs="仿宋_GB2312" w:eastAsia="仿宋_GB2312"/>
        </w:rPr>
        <w:t>详见附件：采购包3：烟花爆竹等3种产品质量监督抽查响应表.xlsx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详见附件：投标包产品抽样检验周期承诺表.docx</w:t>
      </w:r>
    </w:p>
    <w:p>
      <w:pPr>
        <w:pStyle w:val="null3"/>
        <w:ind w:firstLine="960"/>
      </w:pPr>
      <w:r>
        <w:rPr>
          <w:rFonts w:ascii="仿宋_GB2312" w:hAnsi="仿宋_GB2312" w:cs="仿宋_GB2312" w:eastAsia="仿宋_GB2312"/>
        </w:rPr>
        <w:t>详见附件：类似抽检品目业绩一览表.docx</w:t>
      </w:r>
    </w:p>
    <w:p>
      <w:pPr>
        <w:pStyle w:val="null3"/>
        <w:ind w:firstLine="960"/>
      </w:pPr>
      <w:r>
        <w:rPr>
          <w:rFonts w:ascii="仿宋_GB2312" w:hAnsi="仿宋_GB2312" w:cs="仿宋_GB2312" w:eastAsia="仿宋_GB2312"/>
        </w:rPr>
        <w:t>详见附件：采购包4：劳动防护用品口罩类等4类产品质量监督抽查响应表.xlsx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详见附件：投标包产品抽样检验周期承诺表.docx</w:t>
      </w:r>
    </w:p>
    <w:p>
      <w:pPr>
        <w:pStyle w:val="null3"/>
        <w:ind w:firstLine="960"/>
      </w:pPr>
      <w:r>
        <w:rPr>
          <w:rFonts w:ascii="仿宋_GB2312" w:hAnsi="仿宋_GB2312" w:cs="仿宋_GB2312" w:eastAsia="仿宋_GB2312"/>
        </w:rPr>
        <w:t>详见附件：类似抽检品目业绩一览表.docx</w:t>
      </w:r>
    </w:p>
    <w:p>
      <w:pPr>
        <w:pStyle w:val="null3"/>
        <w:ind w:firstLine="960"/>
      </w:pPr>
      <w:r>
        <w:rPr>
          <w:rFonts w:ascii="仿宋_GB2312" w:hAnsi="仿宋_GB2312" w:cs="仿宋_GB2312" w:eastAsia="仿宋_GB2312"/>
        </w:rPr>
        <w:t>详见附件：采购包5：泵（潜水电泵）等4种产品质量监督抽查响应表.xlsx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