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6695C">
      <w:pPr>
        <w:wordWrap w:val="0"/>
        <w:topLinePunct/>
        <w:spacing w:line="500" w:lineRule="exact"/>
        <w:jc w:val="center"/>
        <w:outlineLvl w:val="0"/>
        <w:rPr>
          <w:rFonts w:hint="eastAsia" w:ascii="宋体" w:hAnsi="宋体" w:cs="宋体"/>
          <w:b/>
          <w:bCs/>
          <w:highlight w:val="none"/>
          <w:u w:val="single"/>
        </w:rPr>
      </w:pPr>
      <w:r>
        <w:rPr>
          <w:rStyle w:val="6"/>
          <w:rFonts w:hint="eastAsia" w:ascii="黑体" w:hAnsi="黑体" w:eastAsia="黑体" w:cs="黑体"/>
          <w:sz w:val="32"/>
          <w:szCs w:val="32"/>
          <w:highlight w:val="none"/>
        </w:rPr>
        <w:t>拟签订合同文本</w:t>
      </w:r>
    </w:p>
    <w:p w14:paraId="4654B7A0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  <w:u w:val="single"/>
        </w:rPr>
      </w:pPr>
      <w:r>
        <w:rPr>
          <w:rFonts w:hint="eastAsia" w:ascii="黑体" w:hAnsi="??" w:eastAsia="黑体" w:cs="??"/>
          <w:b/>
          <w:sz w:val="22"/>
          <w:szCs w:val="20"/>
          <w:highlight w:val="none"/>
          <w:u w:val="single"/>
        </w:rPr>
        <w:t>注：本合同仅为合同的参考文本，合同签订双方可根据项目的具体要求进行修订。</w:t>
      </w:r>
    </w:p>
    <w:p w14:paraId="3B1560B9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</w:rPr>
      </w:pPr>
    </w:p>
    <w:p w14:paraId="31499AE2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47242214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</w:p>
    <w:p w14:paraId="683C455C">
      <w:pPr>
        <w:kinsoku w:val="0"/>
        <w:spacing w:line="360" w:lineRule="auto"/>
        <w:ind w:firstLine="600" w:firstLineChars="25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  <w:lang w:eastAsia="zh-CN"/>
        </w:rPr>
        <w:t>陕西铁路工程职业技术学院</w:t>
      </w:r>
    </w:p>
    <w:p w14:paraId="3C65F196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05A63837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根据《中华人民共和国政府采购法》、《中华人民共和国</w:t>
      </w:r>
      <w:r>
        <w:rPr>
          <w:rFonts w:hint="eastAsia" w:ascii="宋体" w:hAnsi="宋体"/>
          <w:sz w:val="24"/>
          <w:highlight w:val="none"/>
          <w:lang w:val="en-US" w:eastAsia="zh-CN"/>
        </w:rPr>
        <w:t>民法典</w:t>
      </w:r>
      <w:r>
        <w:rPr>
          <w:rFonts w:ascii="宋体" w:hAnsi="宋体"/>
          <w:sz w:val="24"/>
          <w:highlight w:val="none"/>
        </w:rPr>
        <w:t>》、《中华人民共和国政府采购法实施条例》等法律法规，甲方通过</w:t>
      </w:r>
      <w:r>
        <w:rPr>
          <w:rFonts w:hint="eastAsia" w:ascii="宋体" w:hAnsi="宋体"/>
          <w:sz w:val="24"/>
          <w:highlight w:val="none"/>
        </w:rPr>
        <w:t>公开招标</w:t>
      </w:r>
      <w:r>
        <w:rPr>
          <w:rFonts w:ascii="宋体" w:hAnsi="宋体"/>
          <w:sz w:val="24"/>
          <w:highlight w:val="none"/>
        </w:rPr>
        <w:t>，选定乙方为</w:t>
      </w:r>
      <w:r>
        <w:rPr>
          <w:rFonts w:hint="eastAsia" w:ascii="宋体" w:hAnsi="宋体"/>
          <w:sz w:val="24"/>
          <w:highlight w:val="none"/>
        </w:rPr>
        <w:t>成交单位</w:t>
      </w:r>
      <w:r>
        <w:rPr>
          <w:rFonts w:ascii="宋体" w:hAnsi="宋体"/>
          <w:sz w:val="24"/>
          <w:highlight w:val="none"/>
        </w:rPr>
        <w:t>。甲、乙双方在平等基础上协商一致，达成如下合同条款</w:t>
      </w:r>
      <w:r>
        <w:rPr>
          <w:rFonts w:hint="eastAsia" w:ascii="宋体" w:hAnsi="宋体"/>
          <w:sz w:val="24"/>
          <w:highlight w:val="none"/>
        </w:rPr>
        <w:t>:</w:t>
      </w:r>
    </w:p>
    <w:p w14:paraId="3E26BAA6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一、</w:t>
      </w:r>
      <w:r>
        <w:rPr>
          <w:rFonts w:ascii="宋体" w:hAnsi="宋体"/>
          <w:b/>
          <w:sz w:val="24"/>
          <w:highlight w:val="none"/>
        </w:rPr>
        <w:t>合同内容    项目编号/包号：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09BA7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616BBD1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33D8643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39F40380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32CCD906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794E04B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474CA00F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5969E09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690E815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备注</w:t>
            </w:r>
          </w:p>
        </w:tc>
      </w:tr>
      <w:tr w14:paraId="05F4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ECB3D7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15A3A79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EC6A7B9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257B4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BF158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1669C1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0E86636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574709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FAB0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A6F4BD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4E6BB4B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19E7AF9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43AB3C5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9151C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1AE023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5836F56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CED1E3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1B9C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AC39E9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12960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03AF24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5B7344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15817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C67034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F57F32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7E3837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F525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27DE2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21A8F49A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¥</w:t>
            </w:r>
            <w:r>
              <w:rPr>
                <w:rFonts w:ascii="宋体" w:hAnsi="宋体"/>
                <w:b/>
                <w:sz w:val="24"/>
                <w:highlight w:val="none"/>
              </w:rPr>
              <w:t>：       （大写）</w:t>
            </w:r>
          </w:p>
        </w:tc>
      </w:tr>
    </w:tbl>
    <w:p w14:paraId="12B0D0B0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（参数较多可以附件说明）</w:t>
      </w:r>
    </w:p>
    <w:p w14:paraId="67951855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5B6B341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二、合同价格</w:t>
      </w:r>
    </w:p>
    <w:p w14:paraId="0C66BFDE">
      <w:pPr>
        <w:kinsoku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合同总价：人民币大写：</w:t>
      </w:r>
      <w:r>
        <w:rPr>
          <w:rFonts w:ascii="宋体" w:hAnsi="宋体"/>
          <w:b/>
          <w:sz w:val="24"/>
          <w:highlight w:val="none"/>
          <w:u w:val="single"/>
        </w:rPr>
        <w:t xml:space="preserve">           </w:t>
      </w:r>
      <w:r>
        <w:rPr>
          <w:rFonts w:ascii="宋体" w:hAnsi="宋体"/>
          <w:b/>
          <w:sz w:val="24"/>
          <w:highlight w:val="none"/>
        </w:rPr>
        <w:t>元整；</w:t>
      </w:r>
      <w:r>
        <w:rPr>
          <w:rFonts w:hint="eastAsia" w:ascii="宋体" w:hAnsi="宋体"/>
          <w:b/>
          <w:sz w:val="24"/>
          <w:highlight w:val="none"/>
        </w:rPr>
        <w:t>¥</w:t>
      </w:r>
      <w:r>
        <w:rPr>
          <w:rFonts w:hint="eastAsia" w:ascii="宋体" w:hAnsi="宋体"/>
          <w:b/>
          <w:sz w:val="24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/>
          <w:b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b/>
          <w:sz w:val="24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highlight w:val="none"/>
        </w:rPr>
        <w:t>元。</w:t>
      </w:r>
    </w:p>
    <w:p w14:paraId="19570FE5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DE02086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三、款项支付</w:t>
      </w:r>
    </w:p>
    <w:p w14:paraId="0E22C4FD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分期付款</w:t>
      </w:r>
      <w:r>
        <w:rPr>
          <w:rFonts w:hint="eastAsia" w:ascii="宋体" w:hAnsi="宋体"/>
          <w:sz w:val="24"/>
          <w:highlight w:val="none"/>
        </w:rPr>
        <w:t>。</w:t>
      </w:r>
    </w:p>
    <w:p w14:paraId="421FD18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四、</w:t>
      </w:r>
      <w:r>
        <w:rPr>
          <w:rFonts w:hint="eastAsia" w:ascii="宋体" w:hAnsi="宋体"/>
          <w:b/>
          <w:sz w:val="24"/>
          <w:highlight w:val="none"/>
        </w:rPr>
        <w:t>完工</w:t>
      </w:r>
      <w:r>
        <w:rPr>
          <w:rFonts w:ascii="宋体" w:hAnsi="宋体"/>
          <w:b/>
          <w:sz w:val="24"/>
          <w:highlight w:val="none"/>
        </w:rPr>
        <w:t>条件</w:t>
      </w:r>
    </w:p>
    <w:p w14:paraId="7A6599D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</w:t>
      </w:r>
      <w:r>
        <w:rPr>
          <w:rFonts w:hint="eastAsia" w:ascii="宋体" w:hAnsi="宋体"/>
          <w:sz w:val="24"/>
          <w:highlight w:val="none"/>
        </w:rPr>
        <w:t>项目实施</w:t>
      </w:r>
      <w:r>
        <w:rPr>
          <w:rFonts w:ascii="宋体" w:hAnsi="宋体"/>
          <w:sz w:val="24"/>
          <w:highlight w:val="none"/>
        </w:rPr>
        <w:t>地点：</w:t>
      </w:r>
    </w:p>
    <w:p w14:paraId="788426EB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</w:t>
      </w:r>
      <w:r>
        <w:rPr>
          <w:rFonts w:hint="eastAsia" w:ascii="宋体" w:hAnsi="宋体"/>
          <w:sz w:val="24"/>
          <w:highlight w:val="none"/>
        </w:rPr>
        <w:t>完工</w:t>
      </w:r>
      <w:r>
        <w:rPr>
          <w:rFonts w:ascii="宋体" w:hAnsi="宋体"/>
          <w:sz w:val="24"/>
          <w:highlight w:val="none"/>
        </w:rPr>
        <w:t>日期：</w:t>
      </w:r>
    </w:p>
    <w:p w14:paraId="210631D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/>
          <w:sz w:val="24"/>
          <w:highlight w:val="none"/>
        </w:rPr>
        <w:t>交付条件：</w:t>
      </w:r>
    </w:p>
    <w:p w14:paraId="70C8E466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五、运输方式：</w:t>
      </w:r>
    </w:p>
    <w:p w14:paraId="2B3E857C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hr-HR"/>
        </w:rPr>
        <w:t>货物包装运输要求：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513323D0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六、质量保证</w:t>
      </w:r>
    </w:p>
    <w:p w14:paraId="2E2EF78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</w:t>
      </w:r>
      <w:r>
        <w:rPr>
          <w:rFonts w:ascii="宋体" w:hAnsi="宋体"/>
          <w:sz w:val="24"/>
          <w:highlight w:val="none"/>
        </w:rPr>
        <w:t>产品的质量保证期为</w:t>
      </w:r>
      <w:r>
        <w:rPr>
          <w:rFonts w:hint="eastAsia" w:ascii="宋体" w:hAnsi="宋体"/>
          <w:sz w:val="24"/>
          <w:highlight w:val="none"/>
        </w:rPr>
        <w:t>: 不少于</w:t>
      </w:r>
      <w:r>
        <w:rPr>
          <w:rFonts w:hint="eastAsia" w:ascii="宋体" w:hAnsi="宋体"/>
          <w:sz w:val="24"/>
          <w:highlight w:val="none"/>
          <w:lang w:val="en-US" w:eastAsia="zh-CN"/>
        </w:rPr>
        <w:t>2年</w:t>
      </w:r>
      <w:r>
        <w:rPr>
          <w:rFonts w:hint="eastAsia" w:ascii="宋体" w:hAnsi="宋体"/>
          <w:sz w:val="24"/>
          <w:highlight w:val="none"/>
        </w:rPr>
        <w:t>。</w:t>
      </w:r>
    </w:p>
    <w:p w14:paraId="79C6B2E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2、</w:t>
      </w:r>
      <w:r>
        <w:rPr>
          <w:rFonts w:hint="eastAsia" w:ascii="宋体" w:hAnsi="宋体" w:eastAsia="宋体"/>
          <w:sz w:val="24"/>
          <w:highlight w:val="none"/>
          <w:lang w:val="hr-HR" w:eastAsia="zh-CN"/>
        </w:rPr>
        <w:t>所有软件、硬件设备质保期为2年（自验收合格交付使用开始计算时间）；验收合格后，乙方选派人员到现场培训，培训所需器材、技术资料及相关费用由乙方承担。保修期间维修及零件更换费用、人工及差旅费等费用全部由乙方负担（人为损坏除外）。在保修期内，如设备或零部件因非人为因素出现故障而造成短期停用的，经双方确认后，保修期相应顺延，顺延期限由双方协商确定。</w:t>
      </w:r>
    </w:p>
    <w:p w14:paraId="49F3016F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七、安装、调试及技术服务</w:t>
      </w:r>
    </w:p>
    <w:p w14:paraId="0CFE4F2A">
      <w:pPr>
        <w:spacing w:line="360" w:lineRule="auto"/>
        <w:ind w:firstLine="496" w:firstLineChars="207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1、技术资料包括：出厂检测报告、产品使用说明书、合格证等其它相关资料。</w:t>
      </w:r>
    </w:p>
    <w:p w14:paraId="2758F5EA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267A0D71">
      <w:pPr>
        <w:spacing w:line="360" w:lineRule="auto"/>
        <w:ind w:firstLine="360" w:firstLineChars="1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4A47BC28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4、技术培训</w:t>
      </w:r>
    </w:p>
    <w:p w14:paraId="7A29CF98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1）内容：</w:t>
      </w:r>
      <w:r>
        <w:rPr>
          <w:rFonts w:hint="eastAsia" w:ascii="宋体" w:hAnsi="宋体"/>
          <w:sz w:val="24"/>
          <w:highlight w:val="none"/>
          <w:lang w:val="en-US" w:eastAsia="zh-CN"/>
        </w:rPr>
        <w:t>乙方需为甲方开展两臂凿岩台车和拱架安装台车培训，包括整车介绍、功能认知、施工应用、操作流程、整车机械、电气、液压、流体系统知识、故障排查维修等方面培训，培训时间不低于30天，培训总课时不少于150课时，另至少需培养甲方单位15员工取得国铁集团认可的凿岩台车操作工高级证书，以及15名员工取得国铁集团认可的拱架安装台车操作工中级证书，30名操作工考证培训不纳入培训总课时。</w:t>
      </w:r>
    </w:p>
    <w:p w14:paraId="4698AC65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2）培训准备：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</w:t>
      </w:r>
      <w:r>
        <w:rPr>
          <w:rFonts w:ascii="宋体" w:hAnsi="宋体"/>
          <w:sz w:val="24"/>
          <w:highlight w:val="none"/>
        </w:rPr>
        <w:t>。</w:t>
      </w:r>
    </w:p>
    <w:p w14:paraId="5119E69C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3）地点：（</w:t>
      </w:r>
      <w:r>
        <w:rPr>
          <w:rFonts w:hint="eastAsia" w:ascii="宋体" w:hAnsi="宋体"/>
          <w:sz w:val="24"/>
          <w:highlight w:val="none"/>
          <w:lang w:eastAsia="zh-CN"/>
        </w:rPr>
        <w:t>陕西铁路工程职业技术学院</w:t>
      </w:r>
      <w:r>
        <w:rPr>
          <w:rFonts w:ascii="宋体" w:hAnsi="宋体"/>
          <w:sz w:val="24"/>
          <w:highlight w:val="none"/>
        </w:rPr>
        <w:t>）</w:t>
      </w:r>
    </w:p>
    <w:p w14:paraId="295F02F8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4）时间：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  </w:t>
      </w:r>
      <w:r>
        <w:rPr>
          <w:rFonts w:ascii="宋体" w:hAnsi="宋体"/>
          <w:sz w:val="24"/>
          <w:highlight w:val="none"/>
        </w:rPr>
        <w:t>。</w:t>
      </w:r>
    </w:p>
    <w:p w14:paraId="03C7B59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5、服务承诺：</w:t>
      </w:r>
      <w:r>
        <w:rPr>
          <w:rFonts w:hint="eastAsia" w:ascii="宋体" w:hAnsi="宋体"/>
          <w:sz w:val="24"/>
          <w:highlight w:val="none"/>
        </w:rPr>
        <w:t>按投标文件中的服</w:t>
      </w:r>
      <w:r>
        <w:rPr>
          <w:rFonts w:ascii="宋体" w:hAnsi="宋体"/>
          <w:sz w:val="24"/>
          <w:highlight w:val="none"/>
        </w:rPr>
        <w:t>务承诺执行。</w:t>
      </w:r>
    </w:p>
    <w:p w14:paraId="38AE36A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6、安装调试过程中出现的安全责任问题由乙方全权负责。</w:t>
      </w:r>
    </w:p>
    <w:p w14:paraId="60C272ED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八、违约责任：</w:t>
      </w:r>
    </w:p>
    <w:p w14:paraId="56B9E31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hr-HR"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highlight w:val="none"/>
          <w:lang w:val="hr-HR" w:eastAsia="zh-CN"/>
        </w:rPr>
        <w:t>）</w:t>
      </w:r>
      <w:r>
        <w:rPr>
          <w:rFonts w:hint="eastAsia" w:ascii="宋体" w:hAnsi="宋体"/>
          <w:sz w:val="24"/>
          <w:highlight w:val="none"/>
          <w:lang w:val="hr-HR"/>
        </w:rPr>
        <w:t>按《中华人民共和国民法典》中合同部分的相关条款执行。</w:t>
      </w:r>
    </w:p>
    <w:p w14:paraId="2FC4005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hr-HR"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/>
          <w:sz w:val="24"/>
          <w:highlight w:val="none"/>
          <w:lang w:val="hr-HR" w:eastAsia="zh-CN"/>
        </w:rPr>
        <w:t>）</w:t>
      </w:r>
      <w:r>
        <w:rPr>
          <w:rFonts w:hint="eastAsia" w:ascii="宋体" w:hAnsi="宋体"/>
          <w:sz w:val="24"/>
          <w:highlight w:val="none"/>
          <w:lang w:val="hr-HR"/>
        </w:rPr>
        <w:t>未按合同要求提供产品或产品质量不能满足技术要求，</w:t>
      </w:r>
      <w:r>
        <w:rPr>
          <w:rFonts w:hint="eastAsia" w:ascii="宋体" w:hAnsi="宋体"/>
          <w:sz w:val="24"/>
          <w:highlight w:val="none"/>
          <w:lang w:val="en-US" w:eastAsia="zh-CN"/>
        </w:rPr>
        <w:t>甲方</w:t>
      </w:r>
      <w:r>
        <w:rPr>
          <w:rFonts w:hint="eastAsia" w:ascii="宋体" w:hAnsi="宋体"/>
          <w:sz w:val="24"/>
          <w:highlight w:val="none"/>
          <w:lang w:val="hr-HR"/>
        </w:rPr>
        <w:t>有权终止合同，并保留追究</w:t>
      </w:r>
      <w:r>
        <w:rPr>
          <w:rFonts w:hint="eastAsia" w:ascii="宋体" w:hAnsi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/>
          <w:sz w:val="24"/>
          <w:highlight w:val="none"/>
          <w:lang w:val="hr-HR"/>
        </w:rPr>
        <w:t>违约责任的权利。</w:t>
      </w:r>
    </w:p>
    <w:p w14:paraId="698D043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hr-HR"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/>
          <w:sz w:val="24"/>
          <w:highlight w:val="none"/>
          <w:lang w:val="hr-HR" w:eastAsia="zh-CN"/>
        </w:rPr>
        <w:t>）</w:t>
      </w:r>
      <w:r>
        <w:rPr>
          <w:rFonts w:hint="eastAsia" w:ascii="宋体" w:hAnsi="宋体"/>
          <w:sz w:val="24"/>
          <w:highlight w:val="none"/>
          <w:lang w:val="hr-HR"/>
        </w:rPr>
        <w:t>时间迟延的，违约方按照每天1‰向对方承担违约责任。产品质量问题违约的，除了按照迟延时间计算违约金外，另可以采取退货、换货等方式，由</w:t>
      </w:r>
      <w:r>
        <w:rPr>
          <w:rFonts w:hint="eastAsia" w:ascii="宋体" w:hAnsi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/>
          <w:sz w:val="24"/>
          <w:highlight w:val="none"/>
          <w:lang w:val="hr-HR"/>
        </w:rPr>
        <w:t>承担一切费用。</w:t>
      </w:r>
    </w:p>
    <w:p w14:paraId="107FA79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hr-HR"/>
        </w:rPr>
      </w:pPr>
      <w:r>
        <w:rPr>
          <w:rFonts w:hint="eastAsia" w:ascii="宋体" w:hAnsi="宋体"/>
          <w:sz w:val="24"/>
          <w:highlight w:val="none"/>
          <w:lang w:val="hr-HR"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/>
          <w:sz w:val="24"/>
          <w:highlight w:val="none"/>
          <w:lang w:val="hr-HR" w:eastAsia="zh-CN"/>
        </w:rPr>
        <w:t>）</w:t>
      </w:r>
      <w:r>
        <w:rPr>
          <w:rFonts w:hint="eastAsia" w:ascii="宋体" w:hAnsi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/>
          <w:sz w:val="24"/>
          <w:highlight w:val="none"/>
          <w:lang w:val="hr-HR"/>
        </w:rPr>
        <w:t>不得进行债权转让。</w:t>
      </w:r>
    </w:p>
    <w:p w14:paraId="0A27488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hr-HR"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/>
          <w:sz w:val="24"/>
          <w:highlight w:val="none"/>
          <w:lang w:val="hr-HR" w:eastAsia="zh-CN"/>
        </w:rPr>
        <w:t>）</w:t>
      </w:r>
      <w:r>
        <w:rPr>
          <w:rFonts w:hint="eastAsia" w:ascii="宋体" w:hAnsi="宋体"/>
          <w:sz w:val="24"/>
          <w:highlight w:val="none"/>
          <w:lang w:val="hr-HR"/>
        </w:rPr>
        <w:t>采购文件、投标文件及采购合同</w:t>
      </w:r>
      <w:r>
        <w:rPr>
          <w:rFonts w:hint="eastAsia" w:ascii="宋体" w:hAnsi="宋体"/>
          <w:sz w:val="24"/>
          <w:highlight w:val="none"/>
          <w:lang w:val="en-US" w:eastAsia="zh-CN"/>
        </w:rPr>
        <w:t>作为违约责任和争议的处理依据。</w:t>
      </w:r>
    </w:p>
    <w:p w14:paraId="4D7B4463">
      <w:pPr>
        <w:spacing w:line="360" w:lineRule="auto"/>
        <w:ind w:firstLine="532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九、产品验收</w:t>
      </w:r>
    </w:p>
    <w:p w14:paraId="132068F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（1）产品到货后，乙方负责安装调试，达到正常运行条件后书面通知甲方验收。</w:t>
      </w:r>
    </w:p>
    <w:p w14:paraId="5E74783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（2）安装完成后应提供详细的安装报告，并详细记录各种指示的实测数据。</w:t>
      </w:r>
    </w:p>
    <w:p w14:paraId="202ABDD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（3）提供完整的操作手册和安装、调试、维修手册；提供制造厂家的检验测试报告或产品出厂检测报告。</w:t>
      </w:r>
    </w:p>
    <w:p w14:paraId="60162C1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（4）甲方根据合同要求对产品进行验收、确认产品的产地、规格、型号和数量。验收依据为本合同文本、招标文件和国内相应的标准、规范。</w:t>
      </w:r>
    </w:p>
    <w:p w14:paraId="6441998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 xml:space="preserve">（5）验收合格后，填写产品验收单，并向甲方提交产品所包含的所有资料，以便甲方日后管理和维护。 </w:t>
      </w:r>
    </w:p>
    <w:p w14:paraId="0D69F1C0">
      <w:pPr>
        <w:spacing w:line="360" w:lineRule="auto"/>
        <w:ind w:firstLine="482" w:firstLineChars="200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十、售后服务：</w:t>
      </w:r>
    </w:p>
    <w:p w14:paraId="18D9A0C5">
      <w:pPr>
        <w:pStyle w:val="2"/>
        <w:rPr>
          <w:highlight w:val="none"/>
        </w:rPr>
      </w:pPr>
    </w:p>
    <w:p w14:paraId="5F290A9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十一、合同争议的解决：</w:t>
      </w:r>
    </w:p>
    <w:p w14:paraId="6FD39732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1E931894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  <w:highlight w:val="none"/>
        </w:rPr>
        <w:t>甲方所在</w:t>
      </w:r>
      <w:r>
        <w:rPr>
          <w:rFonts w:ascii="宋体" w:hAnsi="宋体"/>
          <w:sz w:val="24"/>
          <w:highlight w:val="none"/>
        </w:rPr>
        <w:t>地人民法院提请诉讼。</w:t>
      </w:r>
    </w:p>
    <w:p w14:paraId="276D12B9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十二、本合同一式陆份，</w:t>
      </w:r>
      <w:r>
        <w:rPr>
          <w:rFonts w:hint="eastAsia" w:ascii="宋体" w:hAnsi="宋体"/>
          <w:color w:val="000000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5F75C661">
      <w:pPr>
        <w:spacing w:line="360" w:lineRule="auto"/>
        <w:ind w:firstLine="480" w:firstLineChars="200"/>
        <w:rPr>
          <w:rFonts w:ascii="宋体" w:hAnsi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</w:rPr>
        <w:t>十三、其它（乙方信息全部为必填项）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6D343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7E37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BBA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乙  方</w:t>
            </w:r>
          </w:p>
        </w:tc>
      </w:tr>
      <w:tr w14:paraId="274F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815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6AA0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成交单位全称</w:t>
            </w:r>
          </w:p>
          <w:p w14:paraId="301CE75C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（盖章）</w:t>
            </w:r>
          </w:p>
        </w:tc>
      </w:tr>
      <w:tr w14:paraId="17241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76E4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2615">
            <w:pPr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地址：</w:t>
            </w:r>
          </w:p>
        </w:tc>
      </w:tr>
      <w:tr w14:paraId="6B51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86B44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2985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邮编：</w:t>
            </w:r>
          </w:p>
        </w:tc>
      </w:tr>
      <w:tr w14:paraId="1C3B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B7C0B1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F9C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法定代表人：</w:t>
            </w:r>
          </w:p>
        </w:tc>
      </w:tr>
      <w:tr w14:paraId="6913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12E7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72B1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022F4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1D81C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DBD8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电话：</w:t>
            </w:r>
          </w:p>
        </w:tc>
      </w:tr>
      <w:tr w14:paraId="119E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4C3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3F96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传真：</w:t>
            </w:r>
          </w:p>
        </w:tc>
      </w:tr>
      <w:tr w14:paraId="17B72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C016A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3E3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开户银行：</w:t>
            </w:r>
          </w:p>
        </w:tc>
      </w:tr>
      <w:tr w14:paraId="31DE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1E53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E11E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账号:</w:t>
            </w:r>
          </w:p>
        </w:tc>
      </w:tr>
      <w:tr w14:paraId="28AD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D4F0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E64CB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开户名称：</w:t>
            </w:r>
          </w:p>
        </w:tc>
      </w:tr>
      <w:tr w14:paraId="10DE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1BE39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E8D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企业规模：</w:t>
            </w:r>
          </w:p>
        </w:tc>
      </w:tr>
      <w:tr w14:paraId="1DA67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9D5D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B6CD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64BC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8A09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8C6F0">
            <w:pPr>
              <w:spacing w:line="360" w:lineRule="auto"/>
              <w:jc w:val="left"/>
              <w:rPr>
                <w:rFonts w:ascii="宋体" w:hAnsi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4D83E2CE">
      <w:pPr>
        <w:pStyle w:val="2"/>
        <w:rPr>
          <w:b w:val="0"/>
          <w:bCs/>
          <w:color w:val="auto"/>
          <w:sz w:val="20"/>
          <w:szCs w:val="20"/>
          <w:highlight w:val="none"/>
        </w:rPr>
      </w:pPr>
    </w:p>
    <w:p w14:paraId="212DDF72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5737416-1943-42D7-A11D-2C1F3E14849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ECEB11E-58E1-4E01-801F-985CCCD7ED4C}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CBD1836-D704-4A41-96A4-F5EACE7AB83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24EC9">
    <w:pPr>
      <w:pStyle w:val="3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2515235</wp:posOffset>
              </wp:positionH>
              <wp:positionV relativeFrom="paragraph">
                <wp:posOffset>0</wp:posOffset>
              </wp:positionV>
              <wp:extent cx="1118235" cy="296545"/>
              <wp:effectExtent l="0" t="0" r="0" b="0"/>
              <wp:wrapNone/>
              <wp:docPr id="13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0BFE2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84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square" lIns="0" tIns="0" rIns="0" bIns="0"/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left:198.05pt;margin-top:0pt;height:23.35pt;width:88.05pt;mso-position-horizontal-relative:margin;z-index:251659264;mso-width-relative:page;mso-height-relative:page;" filled="f" stroked="f" coordsize="21600,21600" o:gfxdata="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25NWcNcAAAAHAQAADwAAAAAAAAABACAAAAAiAAAAZHJzL2Rvd25yZXYueG1s&#10;UEsBAhQAFAAAAAgAh07iQPIzNJLAAQAAdgMAAA4AAAAAAAAAAQAgAAAAJ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30BFE2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84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kern w:val="2"/>
      </w:rPr>
      <w:t>陕西德勤招标有限公司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65EB4">
    <w:pPr>
      <w:pStyle w:val="3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  <w:r>
      <w:rPr>
        <w:rFonts w:hint="eastAsia" w:ascii="黑体" w:hAnsi="黑体" w:eastAsia="黑体" w:cs="黑体"/>
        <w:kern w:val="2"/>
        <w:highlight w:val="none"/>
        <w:lang w:eastAsia="zh-CN"/>
      </w:rPr>
      <w:t>隧道机械化施工掘支系统项目</w:t>
    </w:r>
    <w:r>
      <w:rPr>
        <w:rFonts w:hint="eastAsia" w:ascii="黑体" w:hAnsi="黑体" w:eastAsia="黑体" w:cs="黑体"/>
        <w:kern w:val="2"/>
      </w:rPr>
      <w:t>公开招标文件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E2A95"/>
    <w:rsid w:val="7BBE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character" w:customStyle="1" w:styleId="6">
    <w:name w:val="标题 1 Char"/>
    <w:autoRedefine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2026-04-02T06:37:00Z</dcterms:created>
  <dc:creator>饣耳</dc:creator>
  <cp:lastModifiedBy>饣耳</cp:lastModifiedBy>
  <dcterms:modified xsi:type="dcterms:W3CDTF">2026-04-02T06:37:36Z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FA0AFCA8676A4E3296C344AE6C0B8047_11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