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版本号：DQB-2026009-ZB20260402001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隧道机械化施工掘支系统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DQB-2026009-ZB</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隧道机械化施工掘支系统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DQB-2026009-ZB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隧道机械化施工掘支系统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隧道机械化施工掘支系统。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2024年度或2025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以所属日期为准）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以所属日期为准）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姜仕路、李维婧、李寅辰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银行账号：52880188000153645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代理服务费收费标准：按照差额累计法计算。按照以下标准下浮20%收取，成交金额100万及以下，按照费率1.5%计取；成交金额100万-500万，按照费率1.1%计取。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联系人：姜仕路、李维婧、李寅辰</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隧道机械化施工掘支系统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4,800,000.00</w:t>
      </w:r>
    </w:p>
    <w:p>
      <w:pPr>
        <w:pStyle w:val="null3"/>
      </w:pPr>
      <w:r>
        <w:rPr>
          <w:rFonts w:ascii="仿宋_GB2312" w:hAnsi="仿宋_GB2312" w:cs="仿宋_GB2312" w:eastAsia="仿宋_GB2312"/>
        </w:rPr>
        <w:t>采购包最高限价（元）: 4,800,000.00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隧道机械化施工掘支系统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标的名称：隧道机械化施工掘支系统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一、项目清单</w:t>
            </w:r>
          </w:p>
          <w:tbl>
            <w:tblPr>
              <w:tblInd w:type="dxa" w:w="120"/>
              <w:tblBorders>
                <w:top w:val="none" w:color="000000" w:sz="4"/>
                <w:left w:val="none" w:color="000000" w:sz="4"/>
                <w:bottom w:val="none" w:color="000000" w:sz="4"/>
                <w:right w:val="none" w:color="000000" w:sz="4"/>
                <w:insideH w:val="none"/>
                <w:insideV w:val="none"/>
              </w:tblBorders>
            </w:tblPr>
            <w:tblGrid>
              <w:gridCol w:w="158"/>
              <w:gridCol w:w="272"/>
              <w:gridCol w:w="272"/>
              <w:gridCol w:w="1728"/>
              <w:gridCol w:w="122"/>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序号</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项目名称</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产品名称</w:t>
                  </w:r>
                </w:p>
              </w:tc>
              <w:tc>
                <w:tcPr>
                  <w:tcW w:type="dxa" w:w="1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主要技术参数</w:t>
                  </w:r>
                </w:p>
              </w:tc>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数量</w:t>
                  </w:r>
                </w:p>
              </w:tc>
            </w:tr>
            <w:tr>
              <w:tc>
                <w:tcPr>
                  <w:tcW w:type="dxa" w:w="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隧道机械化施工掘支系统</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两臂凿岩台车（</w:t>
                  </w:r>
                  <w:r>
                    <w:rPr>
                      <w:rFonts w:ascii="仿宋_GB2312" w:hAnsi="仿宋_GB2312" w:cs="仿宋_GB2312" w:eastAsia="仿宋_GB2312"/>
                      <w:sz w:val="21"/>
                      <w:b/>
                    </w:rPr>
                    <w:t>核心产品</w:t>
                  </w:r>
                  <w:r>
                    <w:rPr>
                      <w:rFonts w:ascii="仿宋_GB2312" w:hAnsi="仿宋_GB2312" w:cs="仿宋_GB2312" w:eastAsia="仿宋_GB2312"/>
                      <w:sz w:val="21"/>
                      <w:b/>
                    </w:rPr>
                    <w:t>）</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两臂凿岩台车</w:t>
                  </w:r>
                </w:p>
                <w:p>
                  <w:pPr>
                    <w:pStyle w:val="null3"/>
                    <w:jc w:val="both"/>
                  </w:pPr>
                  <w:r>
                    <w:rPr>
                      <w:rFonts w:ascii="仿宋_GB2312" w:hAnsi="仿宋_GB2312" w:cs="仿宋_GB2312" w:eastAsia="仿宋_GB2312"/>
                      <w:sz w:val="21"/>
                    </w:rPr>
                    <w:t>1.设备基本参数</w:t>
                  </w:r>
                </w:p>
                <w:tbl>
                  <w:tblPr>
                    <w:tblBorders>
                      <w:top w:val="none" w:color="000000" w:sz="4"/>
                      <w:left w:val="none" w:color="000000" w:sz="4"/>
                      <w:bottom w:val="none" w:color="000000" w:sz="4"/>
                      <w:right w:val="none" w:color="000000" w:sz="4"/>
                      <w:insideH w:val="none"/>
                      <w:insideV w:val="none"/>
                    </w:tblBorders>
                  </w:tblPr>
                  <w:tblGrid>
                    <w:gridCol w:w="209"/>
                    <w:gridCol w:w="728"/>
                    <w:gridCol w:w="566"/>
                  </w:tblGrid>
                  <w:tr>
                    <w:tc>
                      <w:tcPr>
                        <w:tcW w:type="dxa" w:w="20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1.基本参数</w:t>
                        </w:r>
                      </w:p>
                      <w:p>
                        <w:pPr>
                          <w:pStyle w:val="null3"/>
                          <w:jc w:val="both"/>
                        </w:pP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技术参数</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技术参数要求</w:t>
                        </w:r>
                      </w:p>
                    </w:tc>
                  </w:tr>
                  <w:tr>
                    <w:tc>
                      <w:tcPr>
                        <w:tcW w:type="dxa" w:w="209"/>
                        <w:vMerge/>
                        <w:tcBorders>
                          <w:top w:val="single" w:color="000000" w:sz="4"/>
                          <w:left w:val="singl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外形尺寸（长</w:t>
                        </w:r>
                        <w:r>
                          <w:rPr>
                            <w:rFonts w:ascii="仿宋_GB2312" w:hAnsi="仿宋_GB2312" w:cs="仿宋_GB2312" w:eastAsia="仿宋_GB2312"/>
                            <w:sz w:val="21"/>
                            <w:color w:val="0D0D0D"/>
                          </w:rPr>
                          <w:t>×宽×高，m）</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≤17×</w:t>
                        </w:r>
                        <w:r>
                          <w:rPr>
                            <w:rFonts w:ascii="仿宋_GB2312" w:hAnsi="仿宋_GB2312" w:cs="仿宋_GB2312" w:eastAsia="仿宋_GB2312"/>
                            <w:sz w:val="21"/>
                            <w:color w:val="0D0D0D"/>
                          </w:rPr>
                          <w:t>2.7</w:t>
                        </w:r>
                        <w:r>
                          <w:rPr>
                            <w:rFonts w:ascii="仿宋_GB2312" w:hAnsi="仿宋_GB2312" w:cs="仿宋_GB2312" w:eastAsia="仿宋_GB2312"/>
                            <w:sz w:val="21"/>
                            <w:color w:val="0D0D0D"/>
                          </w:rPr>
                          <w:t>×</w:t>
                        </w:r>
                        <w:r>
                          <w:rPr>
                            <w:rFonts w:ascii="仿宋_GB2312" w:hAnsi="仿宋_GB2312" w:cs="仿宋_GB2312" w:eastAsia="仿宋_GB2312"/>
                            <w:sz w:val="21"/>
                            <w:color w:val="0D0D0D"/>
                          </w:rPr>
                          <w:t>4</w:t>
                        </w:r>
                      </w:p>
                    </w:tc>
                  </w:tr>
                  <w:tr>
                    <w:tc>
                      <w:tcPr>
                        <w:tcW w:type="dxa" w:w="209"/>
                        <w:vMerge/>
                        <w:tcBorders>
                          <w:top w:val="single" w:color="000000" w:sz="4"/>
                          <w:left w:val="singl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w:t>
                        </w:r>
                        <w:r>
                          <w:rPr>
                            <w:rFonts w:ascii="仿宋_GB2312" w:hAnsi="仿宋_GB2312" w:cs="仿宋_GB2312" w:eastAsia="仿宋_GB2312"/>
                            <w:sz w:val="21"/>
                            <w:color w:val="0D0D0D"/>
                          </w:rPr>
                          <w:t>最大作业范围（宽</w:t>
                        </w:r>
                        <w:r>
                          <w:rPr>
                            <w:rFonts w:ascii="仿宋_GB2312" w:hAnsi="仿宋_GB2312" w:cs="仿宋_GB2312" w:eastAsia="仿宋_GB2312"/>
                            <w:sz w:val="21"/>
                            <w:color w:val="0D0D0D"/>
                          </w:rPr>
                          <w:t>×高，mm）</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≥16000×13000</w:t>
                        </w:r>
                      </w:p>
                    </w:tc>
                  </w:tr>
                  <w:tr>
                    <w:tc>
                      <w:tcPr>
                        <w:tcW w:type="dxa" w:w="209"/>
                        <w:vMerge/>
                        <w:tcBorders>
                          <w:top w:val="single" w:color="000000" w:sz="4"/>
                          <w:left w:val="singl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整机电气输入功率（</w:t>
                        </w:r>
                        <w:r>
                          <w:rPr>
                            <w:rFonts w:ascii="仿宋_GB2312" w:hAnsi="仿宋_GB2312" w:cs="仿宋_GB2312" w:eastAsia="仿宋_GB2312"/>
                            <w:sz w:val="21"/>
                            <w:color w:val="0D0D0D"/>
                          </w:rPr>
                          <w:t>kW）</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D0D0D"/>
                          </w:rPr>
                          <w:t>1</w:t>
                        </w:r>
                        <w:r>
                          <w:rPr>
                            <w:rFonts w:ascii="仿宋_GB2312" w:hAnsi="仿宋_GB2312" w:cs="仿宋_GB2312" w:eastAsia="仿宋_GB2312"/>
                            <w:sz w:val="21"/>
                            <w:color w:val="0D0D0D"/>
                          </w:rPr>
                          <w:t>6</w:t>
                        </w:r>
                        <w:r>
                          <w:rPr>
                            <w:rFonts w:ascii="仿宋_GB2312" w:hAnsi="仿宋_GB2312" w:cs="仿宋_GB2312" w:eastAsia="仿宋_GB2312"/>
                            <w:sz w:val="21"/>
                            <w:color w:val="0D0D0D"/>
                          </w:rPr>
                          <w:t>0</w:t>
                        </w:r>
                      </w:p>
                    </w:tc>
                  </w:tr>
                </w:tbl>
                <w:p>
                  <w:pPr>
                    <w:pStyle w:val="null3"/>
                    <w:jc w:val="both"/>
                  </w:pPr>
                  <w:r>
                    <w:rPr>
                      <w:rFonts w:ascii="仿宋_GB2312" w:hAnsi="仿宋_GB2312" w:cs="仿宋_GB2312" w:eastAsia="仿宋_GB2312"/>
                      <w:sz w:val="21"/>
                    </w:rPr>
                    <w:t>2.设备配置参数</w:t>
                  </w:r>
                </w:p>
                <w:tbl>
                  <w:tblPr>
                    <w:tblBorders>
                      <w:top w:val="none" w:color="000000" w:sz="4"/>
                      <w:left w:val="none" w:color="000000" w:sz="4"/>
                      <w:bottom w:val="none" w:color="000000" w:sz="4"/>
                      <w:right w:val="none" w:color="000000" w:sz="4"/>
                      <w:insideH w:val="none"/>
                      <w:insideV w:val="none"/>
                    </w:tblBorders>
                  </w:tblPr>
                  <w:tblGrid>
                    <w:gridCol w:w="253"/>
                    <w:gridCol w:w="693"/>
                    <w:gridCol w:w="567"/>
                  </w:tblGrid>
                  <w:tr>
                    <w:tc>
                      <w:tcPr>
                        <w:tcW w:type="dxa" w:w="25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凿岩机</w:t>
                        </w:r>
                      </w:p>
                    </w:tc>
                    <w:tc>
                      <w:tcPr>
                        <w:tcW w:type="dxa" w:w="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color w:val="0D0D0D"/>
                          </w:rPr>
                          <w:t>冲击功率（</w:t>
                        </w:r>
                        <w:r>
                          <w:rPr>
                            <w:rFonts w:ascii="仿宋_GB2312" w:hAnsi="仿宋_GB2312" w:cs="仿宋_GB2312" w:eastAsia="仿宋_GB2312"/>
                            <w:sz w:val="21"/>
                          </w:rPr>
                          <w:t>kW</w:t>
                        </w:r>
                        <w:r>
                          <w:rPr>
                            <w:rFonts w:ascii="仿宋_GB2312" w:hAnsi="仿宋_GB2312" w:cs="仿宋_GB2312" w:eastAsia="仿宋_GB2312"/>
                            <w:sz w:val="21"/>
                            <w:color w:val="0D0D0D"/>
                          </w:rPr>
                          <w:t>）</w:t>
                        </w:r>
                      </w:p>
                    </w:tc>
                    <w:tc>
                      <w:tcPr>
                        <w:tcW w:type="dxa" w:w="5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w:t>
                        </w:r>
                      </w:p>
                    </w:tc>
                  </w:tr>
                  <w:tr>
                    <w:tc>
                      <w:tcPr>
                        <w:tcW w:type="dxa" w:w="253"/>
                        <w:vMerge/>
                        <w:tcBorders>
                          <w:top w:val="single" w:color="000000" w:sz="4"/>
                          <w:left w:val="single" w:color="000000" w:sz="4"/>
                          <w:bottom w:val="single" w:color="000000" w:sz="4"/>
                          <w:right w:val="single" w:color="000000" w:sz="4"/>
                        </w:tcBorders>
                      </w:tcP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凿岩最大旋转扭矩（</w:t>
                        </w:r>
                        <w:r>
                          <w:rPr>
                            <w:rFonts w:ascii="仿宋_GB2312" w:hAnsi="仿宋_GB2312" w:cs="仿宋_GB2312" w:eastAsia="仿宋_GB2312"/>
                            <w:sz w:val="21"/>
                          </w:rPr>
                          <w:t>N·m</w:t>
                        </w:r>
                        <w:r>
                          <w:rPr>
                            <w:rFonts w:ascii="仿宋_GB2312" w:hAnsi="仿宋_GB2312" w:cs="仿宋_GB2312" w:eastAsia="仿宋_GB2312"/>
                            <w:sz w:val="21"/>
                            <w:color w:val="0D0D0D"/>
                          </w:rPr>
                          <w:t>）</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≥650</w:t>
                        </w:r>
                      </w:p>
                    </w:tc>
                  </w:tr>
                  <w:tr>
                    <w:tc>
                      <w:tcPr>
                        <w:tcW w:type="dxa" w:w="253"/>
                        <w:vMerge/>
                        <w:tcBorders>
                          <w:top w:val="single" w:color="000000" w:sz="4"/>
                          <w:left w:val="single" w:color="000000" w:sz="4"/>
                          <w:bottom w:val="single" w:color="000000" w:sz="4"/>
                          <w:right w:val="single" w:color="000000" w:sz="4"/>
                        </w:tcBorders>
                      </w:tcP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冲击频率（</w:t>
                        </w:r>
                        <w:r>
                          <w:rPr>
                            <w:rFonts w:ascii="仿宋_GB2312" w:hAnsi="仿宋_GB2312" w:cs="仿宋_GB2312" w:eastAsia="仿宋_GB2312"/>
                            <w:sz w:val="21"/>
                            <w:color w:val="0D0D0D"/>
                          </w:rPr>
                          <w:t>HZ）</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60</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钻臂</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color w:val="0D0D0D"/>
                          </w:rPr>
                          <w:t>总覆盖面积（</w:t>
                        </w:r>
                        <w:r>
                          <w:rPr>
                            <w:rFonts w:ascii="仿宋_GB2312" w:hAnsi="仿宋_GB2312" w:cs="仿宋_GB2312" w:eastAsia="仿宋_GB2312"/>
                            <w:sz w:val="21"/>
                          </w:rPr>
                          <w:t>m²</w:t>
                        </w:r>
                        <w:r>
                          <w:rPr>
                            <w:rFonts w:ascii="仿宋_GB2312" w:hAnsi="仿宋_GB2312" w:cs="仿宋_GB2312" w:eastAsia="仿宋_GB2312"/>
                            <w:sz w:val="21"/>
                            <w:color w:val="0D0D0D"/>
                          </w:rPr>
                          <w:t>）</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0</w:t>
                        </w:r>
                      </w:p>
                    </w:tc>
                  </w:tr>
                  <w:tr>
                    <w:tc>
                      <w:tcPr>
                        <w:tcW w:type="dxa" w:w="253"/>
                        <w:vMerge/>
                        <w:tcBorders>
                          <w:top w:val="none" w:color="000000" w:sz="4"/>
                          <w:left w:val="single" w:color="000000" w:sz="4"/>
                          <w:bottom w:val="single" w:color="000000" w:sz="4"/>
                          <w:right w:val="single" w:color="000000" w:sz="4"/>
                        </w:tcBorders>
                      </w:tcP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单臂覆盖面积</w:t>
                        </w:r>
                        <w:r>
                          <w:rPr>
                            <w:rFonts w:ascii="仿宋_GB2312" w:hAnsi="仿宋_GB2312" w:cs="仿宋_GB2312" w:eastAsia="仿宋_GB2312"/>
                            <w:sz w:val="21"/>
                            <w:color w:val="0D0D0D"/>
                          </w:rPr>
                          <w:t>（</w:t>
                        </w:r>
                        <w:r>
                          <w:rPr>
                            <w:rFonts w:ascii="仿宋_GB2312" w:hAnsi="仿宋_GB2312" w:cs="仿宋_GB2312" w:eastAsia="仿宋_GB2312"/>
                            <w:sz w:val="21"/>
                          </w:rPr>
                          <w:t>m²</w:t>
                        </w:r>
                        <w:r>
                          <w:rPr>
                            <w:rFonts w:ascii="仿宋_GB2312" w:hAnsi="仿宋_GB2312" w:cs="仿宋_GB2312" w:eastAsia="仿宋_GB2312"/>
                            <w:sz w:val="21"/>
                            <w:color w:val="0D0D0D"/>
                          </w:rPr>
                          <w:t>）</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100</w:t>
                        </w:r>
                      </w:p>
                    </w:tc>
                  </w:tr>
                  <w:tr>
                    <w:tc>
                      <w:tcPr>
                        <w:tcW w:type="dxa" w:w="253"/>
                        <w:vMerge/>
                        <w:tcBorders>
                          <w:top w:val="none" w:color="000000" w:sz="4"/>
                          <w:left w:val="single" w:color="000000" w:sz="4"/>
                          <w:bottom w:val="single" w:color="000000" w:sz="4"/>
                          <w:right w:val="single" w:color="000000" w:sz="4"/>
                        </w:tcBorders>
                      </w:tcP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钻臂伸缩（</w:t>
                        </w:r>
                        <w:r>
                          <w:rPr>
                            <w:rFonts w:ascii="仿宋_GB2312" w:hAnsi="仿宋_GB2312" w:cs="仿宋_GB2312" w:eastAsia="仿宋_GB2312"/>
                            <w:sz w:val="21"/>
                          </w:rPr>
                          <w:t>m</w:t>
                        </w:r>
                        <w:r>
                          <w:rPr>
                            <w:rFonts w:ascii="仿宋_GB2312" w:hAnsi="仿宋_GB2312" w:cs="仿宋_GB2312" w:eastAsia="仿宋_GB2312"/>
                            <w:sz w:val="21"/>
                            <w:color w:val="0D0D0D"/>
                          </w:rPr>
                          <w:t>）</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推进梁</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推进梁总长（</w:t>
                        </w:r>
                        <w:r>
                          <w:rPr>
                            <w:rFonts w:ascii="仿宋_GB2312" w:hAnsi="仿宋_GB2312" w:cs="仿宋_GB2312" w:eastAsia="仿宋_GB2312"/>
                            <w:sz w:val="21"/>
                          </w:rPr>
                          <w:t>mm</w:t>
                        </w:r>
                        <w:r>
                          <w:rPr>
                            <w:rFonts w:ascii="仿宋_GB2312" w:hAnsi="仿宋_GB2312" w:cs="仿宋_GB2312" w:eastAsia="仿宋_GB2312"/>
                            <w:sz w:val="21"/>
                            <w:color w:val="0D0D0D"/>
                          </w:rPr>
                          <w:t>）</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≥7000</w:t>
                        </w:r>
                      </w:p>
                    </w:tc>
                  </w:tr>
                  <w:tr>
                    <w:tc>
                      <w:tcPr>
                        <w:tcW w:type="dxa" w:w="253"/>
                        <w:vMerge/>
                        <w:tcBorders>
                          <w:top w:val="none" w:color="000000" w:sz="4"/>
                          <w:left w:val="single" w:color="000000" w:sz="4"/>
                          <w:bottom w:val="single" w:color="000000" w:sz="4"/>
                          <w:right w:val="single" w:color="000000" w:sz="4"/>
                        </w:tcBorders>
                      </w:tcP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最大推进力（</w:t>
                        </w:r>
                        <w:r>
                          <w:rPr>
                            <w:rFonts w:ascii="仿宋_GB2312" w:hAnsi="仿宋_GB2312" w:cs="仿宋_GB2312" w:eastAsia="仿宋_GB2312"/>
                            <w:sz w:val="21"/>
                          </w:rPr>
                          <w:t>kN</w:t>
                        </w:r>
                        <w:r>
                          <w:rPr>
                            <w:rFonts w:ascii="仿宋_GB2312" w:hAnsi="仿宋_GB2312" w:cs="仿宋_GB2312" w:eastAsia="仿宋_GB2312"/>
                            <w:sz w:val="21"/>
                            <w:color w:val="0D0D0D"/>
                          </w:rPr>
                          <w:t>）</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底盘</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爬坡能力（</w:t>
                        </w:r>
                        <w:r>
                          <w:rPr>
                            <w:rFonts w:ascii="仿宋_GB2312" w:hAnsi="仿宋_GB2312" w:cs="仿宋_GB2312" w:eastAsia="仿宋_GB2312"/>
                            <w:sz w:val="21"/>
                            <w:color w:val="0D0D0D"/>
                          </w:rPr>
                          <w:t>°</w:t>
                        </w:r>
                        <w:r>
                          <w:rPr>
                            <w:rFonts w:ascii="仿宋_GB2312" w:hAnsi="仿宋_GB2312" w:cs="仿宋_GB2312" w:eastAsia="仿宋_GB2312"/>
                            <w:sz w:val="21"/>
                            <w:color w:val="0D0D0D"/>
                          </w:rPr>
                          <w:t>）</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r>
                  <w:tr>
                    <w:tc>
                      <w:tcPr>
                        <w:tcW w:type="dxa" w:w="253"/>
                        <w:vMerge/>
                        <w:tcBorders>
                          <w:top w:val="none" w:color="000000" w:sz="4"/>
                          <w:left w:val="single" w:color="000000" w:sz="4"/>
                          <w:bottom w:val="single" w:color="000000" w:sz="4"/>
                          <w:right w:val="single" w:color="000000" w:sz="4"/>
                        </w:tcBorders>
                      </w:tcP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color w:val="0D0D0D"/>
                          </w:rPr>
                          <w:t>发动机功率</w:t>
                        </w:r>
                        <w:r>
                          <w:rPr>
                            <w:rFonts w:ascii="仿宋_GB2312" w:hAnsi="仿宋_GB2312" w:cs="仿宋_GB2312" w:eastAsia="仿宋_GB2312"/>
                            <w:sz w:val="21"/>
                          </w:rPr>
                          <w:t>(kW)</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≥160</w:t>
                        </w:r>
                      </w:p>
                    </w:tc>
                  </w:tr>
                  <w:tr>
                    <w:tc>
                      <w:tcPr>
                        <w:tcW w:type="dxa" w:w="253"/>
                        <w:vMerge/>
                        <w:tcBorders>
                          <w:top w:val="none" w:color="000000" w:sz="4"/>
                          <w:left w:val="single" w:color="000000" w:sz="4"/>
                          <w:bottom w:val="single" w:color="000000" w:sz="4"/>
                          <w:right w:val="single" w:color="000000" w:sz="4"/>
                        </w:tcBorders>
                      </w:tcP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离地间隙（</w:t>
                        </w:r>
                        <w:r>
                          <w:rPr>
                            <w:rFonts w:ascii="仿宋_GB2312" w:hAnsi="仿宋_GB2312" w:cs="仿宋_GB2312" w:eastAsia="仿宋_GB2312"/>
                            <w:sz w:val="21"/>
                            <w:color w:val="0D0D0D"/>
                          </w:rPr>
                          <w:t>mm）</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400</w:t>
                        </w:r>
                      </w:p>
                    </w:tc>
                  </w:tr>
                  <w:tr>
                    <w:tc>
                      <w:tcPr>
                        <w:tcW w:type="dxa" w:w="253"/>
                        <w:vMerge/>
                        <w:tcBorders>
                          <w:top w:val="none" w:color="000000" w:sz="4"/>
                          <w:left w:val="single" w:color="000000" w:sz="4"/>
                          <w:bottom w:val="single" w:color="000000" w:sz="4"/>
                          <w:right w:val="single" w:color="000000" w:sz="4"/>
                        </w:tcBorders>
                      </w:tcP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color w:val="0D0D0D"/>
                          </w:rPr>
                          <w:t>尾气排放标准</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不低于</w:t>
                        </w:r>
                        <w:r>
                          <w:rPr>
                            <w:rFonts w:ascii="仿宋_GB2312" w:hAnsi="仿宋_GB2312" w:cs="仿宋_GB2312" w:eastAsia="仿宋_GB2312"/>
                            <w:sz w:val="21"/>
                          </w:rPr>
                          <w:t>国</w:t>
                        </w:r>
                        <w:r>
                          <w:rPr>
                            <w:rFonts w:ascii="仿宋_GB2312" w:hAnsi="仿宋_GB2312" w:cs="仿宋_GB2312" w:eastAsia="仿宋_GB2312"/>
                            <w:sz w:val="21"/>
                          </w:rPr>
                          <w:t>IV标准</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水系统</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水泵功率</w:t>
                        </w:r>
                        <w:r>
                          <w:rPr>
                            <w:rFonts w:ascii="仿宋_GB2312" w:hAnsi="仿宋_GB2312" w:cs="仿宋_GB2312" w:eastAsia="仿宋_GB2312"/>
                            <w:sz w:val="21"/>
                            <w:color w:val="0D0D0D"/>
                          </w:rPr>
                          <w:t>（</w:t>
                        </w:r>
                        <w:r>
                          <w:rPr>
                            <w:rFonts w:ascii="仿宋_GB2312" w:hAnsi="仿宋_GB2312" w:cs="仿宋_GB2312" w:eastAsia="仿宋_GB2312"/>
                            <w:sz w:val="21"/>
                            <w:color w:val="0D0D0D"/>
                          </w:rPr>
                          <w:t>KW</w:t>
                        </w:r>
                        <w:r>
                          <w:rPr>
                            <w:rFonts w:ascii="仿宋_GB2312" w:hAnsi="仿宋_GB2312" w:cs="仿宋_GB2312" w:eastAsia="仿宋_GB2312"/>
                            <w:sz w:val="21"/>
                            <w:color w:val="0D0D0D"/>
                          </w:rPr>
                          <w:t>）</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5</w:t>
                        </w:r>
                      </w:p>
                    </w:tc>
                  </w:tr>
                  <w:tr>
                    <w:tc>
                      <w:tcPr>
                        <w:tcW w:type="dxa" w:w="253"/>
                        <w:vMerge/>
                        <w:tcBorders>
                          <w:top w:val="none" w:color="000000" w:sz="4"/>
                          <w:left w:val="single" w:color="000000" w:sz="4"/>
                          <w:bottom w:val="single" w:color="000000" w:sz="4"/>
                          <w:right w:val="single" w:color="000000" w:sz="4"/>
                        </w:tcBorders>
                      </w:tcP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额定排量</w:t>
                        </w:r>
                        <w:r>
                          <w:rPr>
                            <w:rFonts w:ascii="仿宋_GB2312" w:hAnsi="仿宋_GB2312" w:cs="仿宋_GB2312" w:eastAsia="仿宋_GB2312"/>
                            <w:sz w:val="21"/>
                          </w:rPr>
                          <w:t>（</w:t>
                        </w:r>
                        <w:r>
                          <w:rPr>
                            <w:rFonts w:ascii="仿宋_GB2312" w:hAnsi="仿宋_GB2312" w:cs="仿宋_GB2312" w:eastAsia="仿宋_GB2312"/>
                            <w:sz w:val="21"/>
                          </w:rPr>
                          <w:t>L/min</w:t>
                        </w:r>
                        <w:r>
                          <w:rPr>
                            <w:rFonts w:ascii="仿宋_GB2312" w:hAnsi="仿宋_GB2312" w:cs="仿宋_GB2312" w:eastAsia="仿宋_GB2312"/>
                            <w:sz w:val="21"/>
                          </w:rPr>
                          <w:t>）</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160</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气系统</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空压机功率</w:t>
                        </w:r>
                        <w:r>
                          <w:rPr>
                            <w:rFonts w:ascii="仿宋_GB2312" w:hAnsi="仿宋_GB2312" w:cs="仿宋_GB2312" w:eastAsia="仿宋_GB2312"/>
                            <w:sz w:val="21"/>
                            <w:color w:val="0D0D0D"/>
                          </w:rPr>
                          <w:t>(kw)</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r>
                  <w:tr>
                    <w:tc>
                      <w:tcPr>
                        <w:tcW w:type="dxa" w:w="253"/>
                        <w:vMerge/>
                        <w:tcBorders>
                          <w:top w:val="none" w:color="000000" w:sz="4"/>
                          <w:left w:val="single" w:color="000000" w:sz="4"/>
                          <w:bottom w:val="single" w:color="000000" w:sz="4"/>
                          <w:right w:val="single" w:color="000000" w:sz="4"/>
                        </w:tcBorders>
                      </w:tcP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额定排量</w:t>
                        </w:r>
                        <w:r>
                          <w:rPr>
                            <w:rFonts w:ascii="仿宋_GB2312" w:hAnsi="仿宋_GB2312" w:cs="仿宋_GB2312" w:eastAsia="仿宋_GB2312"/>
                            <w:sz w:val="21"/>
                            <w:color w:val="0D0D0D"/>
                          </w:rPr>
                          <w:t>(m</w:t>
                        </w:r>
                        <w:r>
                          <w:rPr>
                            <w:rFonts w:ascii="仿宋_GB2312" w:hAnsi="仿宋_GB2312" w:cs="仿宋_GB2312" w:eastAsia="仿宋_GB2312"/>
                            <w:sz w:val="21"/>
                            <w:color w:val="0D0D0D"/>
                            <w:vertAlign w:val="superscript"/>
                          </w:rPr>
                          <w:t>3</w:t>
                        </w:r>
                        <w:r>
                          <w:rPr>
                            <w:rFonts w:ascii="仿宋_GB2312" w:hAnsi="仿宋_GB2312" w:cs="仿宋_GB2312" w:eastAsia="仿宋_GB2312"/>
                            <w:sz w:val="21"/>
                            <w:color w:val="0D0D0D"/>
                          </w:rPr>
                          <w:t>/min</w:t>
                        </w:r>
                        <w:r>
                          <w:rPr>
                            <w:rFonts w:ascii="仿宋_GB2312" w:hAnsi="仿宋_GB2312" w:cs="仿宋_GB2312" w:eastAsia="仿宋_GB2312"/>
                            <w:sz w:val="21"/>
                            <w:color w:val="0D0D0D"/>
                          </w:rPr>
                          <w:t>)</w:t>
                        </w: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p>
                    </w:tc>
                  </w:tr>
                </w:tbl>
                <w:p>
                  <w:pPr>
                    <w:pStyle w:val="null3"/>
                    <w:jc w:val="both"/>
                  </w:pPr>
                  <w:r>
                    <w:rPr>
                      <w:rFonts w:ascii="仿宋_GB2312" w:hAnsi="仿宋_GB2312" w:cs="仿宋_GB2312" w:eastAsia="仿宋_GB2312"/>
                      <w:sz w:val="21"/>
                    </w:rPr>
                    <w:t>3.其他技术要求</w:t>
                  </w:r>
                </w:p>
                <w:tbl>
                  <w:tblPr>
                    <w:tblBorders>
                      <w:top w:val="none" w:color="000000" w:sz="4"/>
                      <w:left w:val="none" w:color="000000" w:sz="4"/>
                      <w:bottom w:val="none" w:color="000000" w:sz="4"/>
                      <w:right w:val="none" w:color="000000" w:sz="4"/>
                      <w:insideH w:val="none"/>
                      <w:insideV w:val="none"/>
                    </w:tblBorders>
                  </w:tblPr>
                  <w:tblGrid>
                    <w:gridCol w:w="257"/>
                    <w:gridCol w:w="1250"/>
                  </w:tblGrid>
                  <w:tr>
                    <w:tc>
                      <w:tcPr>
                        <w:tcW w:type="dxa" w:w="150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功能要求</w:t>
                        </w:r>
                      </w:p>
                    </w:tc>
                  </w:tr>
                  <w:tr>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底盘系统</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整机刚性底盘，采用机械液力传动，发动机功率</w:t>
                        </w:r>
                        <w:r>
                          <w:rPr>
                            <w:rFonts w:ascii="仿宋_GB2312" w:hAnsi="仿宋_GB2312" w:cs="仿宋_GB2312" w:eastAsia="仿宋_GB2312"/>
                            <w:sz w:val="21"/>
                            <w:color w:val="0D0D0D"/>
                          </w:rPr>
                          <w:t>≥160kW。</w:t>
                        </w:r>
                      </w:p>
                    </w:tc>
                  </w:tr>
                  <w:tr>
                    <w:tc>
                      <w:tcPr>
                        <w:tcW w:type="dxa" w:w="257"/>
                        <w:vMerge/>
                        <w:tcBorders>
                          <w:top w:val="none" w:color="000000" w:sz="4"/>
                          <w:left w:val="single" w:color="000000" w:sz="4"/>
                          <w:bottom w:val="single" w:color="000000" w:sz="4"/>
                          <w:right w:val="single" w:color="000000" w:sz="4"/>
                        </w:tcBorders>
                      </w:tcP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工程机械底盘，四轮驱动，可适应复杂道路和各种隧道施工。</w:t>
                        </w:r>
                      </w:p>
                    </w:tc>
                  </w:tr>
                  <w:tr>
                    <w:tc>
                      <w:tcPr>
                        <w:tcW w:type="dxa" w:w="257"/>
                        <w:vMerge/>
                        <w:tcBorders>
                          <w:top w:val="none" w:color="000000" w:sz="4"/>
                          <w:left w:val="single" w:color="000000" w:sz="4"/>
                          <w:bottom w:val="single" w:color="000000" w:sz="4"/>
                          <w:right w:val="single" w:color="000000" w:sz="4"/>
                        </w:tcBorders>
                      </w:tcP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配备水管卷筒，水管长度</w:t>
                        </w:r>
                        <w:r>
                          <w:rPr>
                            <w:rFonts w:ascii="仿宋_GB2312" w:hAnsi="仿宋_GB2312" w:cs="仿宋_GB2312" w:eastAsia="仿宋_GB2312"/>
                            <w:sz w:val="21"/>
                            <w:color w:val="0D0D0D"/>
                          </w:rPr>
                          <w:t>≥80m</w:t>
                        </w:r>
                      </w:p>
                    </w:tc>
                  </w:tr>
                  <w:tr>
                    <w:tc>
                      <w:tcPr>
                        <w:tcW w:type="dxa" w:w="257"/>
                        <w:vMerge/>
                        <w:tcBorders>
                          <w:top w:val="none" w:color="000000" w:sz="4"/>
                          <w:left w:val="single" w:color="000000" w:sz="4"/>
                          <w:bottom w:val="single" w:color="000000" w:sz="4"/>
                          <w:right w:val="single" w:color="000000" w:sz="4"/>
                        </w:tcBorders>
                      </w:tcP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配备电缆卷筒，电缆长度</w:t>
                        </w:r>
                        <w:r>
                          <w:rPr>
                            <w:rFonts w:ascii="仿宋_GB2312" w:hAnsi="仿宋_GB2312" w:cs="仿宋_GB2312" w:eastAsia="仿宋_GB2312"/>
                            <w:sz w:val="21"/>
                            <w:color w:val="0D0D0D"/>
                          </w:rPr>
                          <w:t>≥80m。</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其他功能要求</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1、</w:t>
                        </w:r>
                        <w:r>
                          <w:rPr>
                            <w:rFonts w:ascii="仿宋_GB2312" w:hAnsi="仿宋_GB2312" w:cs="仿宋_GB2312" w:eastAsia="仿宋_GB2312"/>
                            <w:sz w:val="21"/>
                            <w:color w:val="0D0D0D"/>
                          </w:rPr>
                          <w:t>两臂凿岩台车整机液压控制，性能稳定可靠；</w:t>
                        </w:r>
                      </w:p>
                      <w:p>
                        <w:pPr>
                          <w:pStyle w:val="null3"/>
                          <w:jc w:val="both"/>
                        </w:pPr>
                        <w:r>
                          <w:rPr>
                            <w:rFonts w:ascii="仿宋_GB2312" w:hAnsi="仿宋_GB2312" w:cs="仿宋_GB2312" w:eastAsia="仿宋_GB2312"/>
                            <w:sz w:val="21"/>
                            <w:color w:val="0D0D0D"/>
                          </w:rPr>
                          <w:t>2、</w:t>
                        </w:r>
                        <w:r>
                          <w:rPr>
                            <w:rFonts w:ascii="仿宋_GB2312" w:hAnsi="仿宋_GB2312" w:cs="仿宋_GB2312" w:eastAsia="仿宋_GB2312"/>
                            <w:sz w:val="21"/>
                            <w:color w:val="0D0D0D"/>
                          </w:rPr>
                          <w:t>凿岩台车满足隧道全断面、微台阶法施工，爆破孔、锚杆孔、小导管等一机多能施工，最大作业高度</w:t>
                        </w:r>
                        <w:r>
                          <w:rPr>
                            <w:rFonts w:ascii="仿宋_GB2312" w:hAnsi="仿宋_GB2312" w:cs="仿宋_GB2312" w:eastAsia="仿宋_GB2312"/>
                            <w:sz w:val="21"/>
                            <w:color w:val="0D0D0D"/>
                          </w:rPr>
                          <w:t>≥13m；</w:t>
                        </w:r>
                      </w:p>
                      <w:p>
                        <w:pPr>
                          <w:pStyle w:val="null3"/>
                          <w:jc w:val="both"/>
                        </w:pPr>
                        <w:r>
                          <w:rPr>
                            <w:rFonts w:ascii="仿宋_GB2312" w:hAnsi="仿宋_GB2312" w:cs="仿宋_GB2312" w:eastAsia="仿宋_GB2312"/>
                            <w:sz w:val="21"/>
                            <w:color w:val="0D0D0D"/>
                          </w:rPr>
                          <w:t>3、</w:t>
                        </w:r>
                        <w:r>
                          <w:rPr>
                            <w:rFonts w:ascii="仿宋_GB2312" w:hAnsi="仿宋_GB2312" w:cs="仿宋_GB2312" w:eastAsia="仿宋_GB2312"/>
                            <w:sz w:val="21"/>
                            <w:color w:val="0D0D0D"/>
                          </w:rPr>
                          <w:t>方形伸缩钻臂，推进梁具备自平行功能；</w:t>
                        </w:r>
                      </w:p>
                      <w:p>
                        <w:pPr>
                          <w:pStyle w:val="null3"/>
                          <w:jc w:val="both"/>
                        </w:pPr>
                        <w:r>
                          <w:rPr>
                            <w:rFonts w:ascii="仿宋_GB2312" w:hAnsi="仿宋_GB2312" w:cs="仿宋_GB2312" w:eastAsia="仿宋_GB2312"/>
                            <w:sz w:val="21"/>
                            <w:color w:val="0D0D0D"/>
                          </w:rPr>
                          <w:t>4、</w:t>
                        </w:r>
                        <w:r>
                          <w:rPr>
                            <w:rFonts w:ascii="仿宋_GB2312" w:hAnsi="仿宋_GB2312" w:cs="仿宋_GB2312" w:eastAsia="仿宋_GB2312"/>
                            <w:sz w:val="21"/>
                            <w:color w:val="0D0D0D"/>
                          </w:rPr>
                          <w:t>单杆钻进深度</w:t>
                        </w:r>
                        <w:r>
                          <w:rPr>
                            <w:rFonts w:ascii="仿宋_GB2312" w:hAnsi="仿宋_GB2312" w:cs="仿宋_GB2312" w:eastAsia="仿宋_GB2312"/>
                            <w:sz w:val="21"/>
                            <w:color w:val="0D0D0D"/>
                          </w:rPr>
                          <w:t>≥5.2m；</w:t>
                        </w:r>
                      </w:p>
                      <w:p>
                        <w:pPr>
                          <w:pStyle w:val="null3"/>
                          <w:jc w:val="both"/>
                        </w:pPr>
                        <w:r>
                          <w:rPr>
                            <w:rFonts w:ascii="仿宋_GB2312" w:hAnsi="仿宋_GB2312" w:cs="仿宋_GB2312" w:eastAsia="仿宋_GB2312"/>
                            <w:sz w:val="21"/>
                            <w:color w:val="0D0D0D"/>
                          </w:rPr>
                          <w:t>5、</w:t>
                        </w:r>
                        <w:r>
                          <w:rPr>
                            <w:rFonts w:ascii="仿宋_GB2312" w:hAnsi="仿宋_GB2312" w:cs="仿宋_GB2312" w:eastAsia="仿宋_GB2312"/>
                            <w:sz w:val="21"/>
                            <w:color w:val="0D0D0D"/>
                          </w:rPr>
                          <w:t>凿岩机冲击功率</w:t>
                        </w:r>
                        <w:r>
                          <w:rPr>
                            <w:rFonts w:ascii="仿宋_GB2312" w:hAnsi="仿宋_GB2312" w:cs="仿宋_GB2312" w:eastAsia="仿宋_GB2312"/>
                            <w:sz w:val="21"/>
                            <w:color w:val="0D0D0D"/>
                          </w:rPr>
                          <w:t>≥</w:t>
                        </w:r>
                        <w:r>
                          <w:rPr>
                            <w:rFonts w:ascii="仿宋_GB2312" w:hAnsi="仿宋_GB2312" w:cs="仿宋_GB2312" w:eastAsia="仿宋_GB2312"/>
                            <w:sz w:val="21"/>
                            <w:color w:val="0D0D0D"/>
                          </w:rPr>
                          <w:t>21</w:t>
                        </w:r>
                        <w:r>
                          <w:rPr>
                            <w:rFonts w:ascii="仿宋_GB2312" w:hAnsi="仿宋_GB2312" w:cs="仿宋_GB2312" w:eastAsia="仿宋_GB2312"/>
                            <w:sz w:val="21"/>
                            <w:color w:val="0D0D0D"/>
                          </w:rPr>
                          <w:t>kW，且凿岩系统具备防卡钎、防空打功能；</w:t>
                        </w:r>
                      </w:p>
                      <w:p>
                        <w:pPr>
                          <w:pStyle w:val="null3"/>
                          <w:jc w:val="both"/>
                        </w:pPr>
                        <w:r>
                          <w:rPr>
                            <w:rFonts w:ascii="仿宋_GB2312" w:hAnsi="仿宋_GB2312" w:cs="仿宋_GB2312" w:eastAsia="仿宋_GB2312"/>
                            <w:sz w:val="21"/>
                            <w:color w:val="0D0D0D"/>
                          </w:rPr>
                          <w:t>6、</w:t>
                        </w:r>
                        <w:r>
                          <w:rPr>
                            <w:rFonts w:ascii="仿宋_GB2312" w:hAnsi="仿宋_GB2312" w:cs="仿宋_GB2312" w:eastAsia="仿宋_GB2312"/>
                            <w:sz w:val="21"/>
                            <w:color w:val="0D0D0D"/>
                          </w:rPr>
                          <w:t>配置带有全封闭可升降驾驶室，驾驶室满足</w:t>
                        </w:r>
                        <w:r>
                          <w:rPr>
                            <w:rFonts w:ascii="仿宋_GB2312" w:hAnsi="仿宋_GB2312" w:cs="仿宋_GB2312" w:eastAsia="仿宋_GB2312"/>
                            <w:sz w:val="21"/>
                            <w:color w:val="0D0D0D"/>
                          </w:rPr>
                          <w:t>FOPS认证；</w:t>
                        </w:r>
                      </w:p>
                      <w:p>
                        <w:pPr>
                          <w:pStyle w:val="null3"/>
                          <w:jc w:val="both"/>
                        </w:pPr>
                        <w:r>
                          <w:rPr>
                            <w:rFonts w:ascii="仿宋_GB2312" w:hAnsi="仿宋_GB2312" w:cs="仿宋_GB2312" w:eastAsia="仿宋_GB2312"/>
                            <w:sz w:val="21"/>
                            <w:color w:val="0D0D0D"/>
                          </w:rPr>
                          <w:t>7、</w:t>
                        </w:r>
                        <w:r>
                          <w:rPr>
                            <w:rFonts w:ascii="仿宋_GB2312" w:hAnsi="仿宋_GB2312" w:cs="仿宋_GB2312" w:eastAsia="仿宋_GB2312"/>
                            <w:sz w:val="21"/>
                            <w:color w:val="0D0D0D"/>
                          </w:rPr>
                          <w:t>预留多功能服务平台安装接口。</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color w:val="0D0D0D"/>
                          </w:rPr>
                          <w:t>8、钻孔直径需要包含</w:t>
                        </w:r>
                        <w:r>
                          <w:rPr>
                            <w:rFonts w:ascii="仿宋_GB2312" w:hAnsi="仿宋_GB2312" w:cs="仿宋_GB2312" w:eastAsia="仿宋_GB2312"/>
                            <w:sz w:val="21"/>
                            <w:color w:val="0D0D0D"/>
                          </w:rPr>
                          <w:t>43~1</w:t>
                        </w:r>
                        <w:r>
                          <w:rPr>
                            <w:rFonts w:ascii="仿宋_GB2312" w:hAnsi="仿宋_GB2312" w:cs="仿宋_GB2312" w:eastAsia="仿宋_GB2312"/>
                            <w:sz w:val="21"/>
                            <w:color w:val="0D0D0D"/>
                          </w:rPr>
                          <w:t>02</w:t>
                        </w:r>
                        <w:r>
                          <w:rPr>
                            <w:rFonts w:ascii="仿宋_GB2312" w:hAnsi="仿宋_GB2312" w:cs="仿宋_GB2312" w:eastAsia="仿宋_GB2312"/>
                            <w:sz w:val="21"/>
                            <w:color w:val="0D0D0D"/>
                          </w:rPr>
                          <w:t>mm</w:t>
                        </w:r>
                        <w:r>
                          <w:rPr>
                            <w:rFonts w:ascii="仿宋_GB2312" w:hAnsi="仿宋_GB2312" w:cs="仿宋_GB2312" w:eastAsia="仿宋_GB2312"/>
                            <w:sz w:val="21"/>
                            <w:color w:val="0D0D0D"/>
                          </w:rPr>
                          <w:t>；</w:t>
                        </w:r>
                      </w:p>
                      <w:p>
                        <w:pPr>
                          <w:pStyle w:val="null3"/>
                          <w:jc w:val="both"/>
                        </w:pPr>
                        <w:r>
                          <w:rPr>
                            <w:rFonts w:ascii="仿宋_GB2312" w:hAnsi="仿宋_GB2312" w:cs="仿宋_GB2312" w:eastAsia="仿宋_GB2312"/>
                            <w:sz w:val="21"/>
                            <w:color w:val="0D0D0D"/>
                          </w:rPr>
                          <w:t>9</w:t>
                        </w:r>
                        <w:r>
                          <w:rPr>
                            <w:rFonts w:ascii="仿宋_GB2312" w:hAnsi="仿宋_GB2312" w:cs="仿宋_GB2312" w:eastAsia="仿宋_GB2312"/>
                            <w:sz w:val="21"/>
                            <w:color w:val="0D0D0D"/>
                          </w:rPr>
                          <w:t>、钻孔速度</w:t>
                        </w:r>
                        <w:r>
                          <w:rPr>
                            <w:rFonts w:ascii="仿宋_GB2312" w:hAnsi="仿宋_GB2312" w:cs="仿宋_GB2312" w:eastAsia="仿宋_GB2312"/>
                            <w:sz w:val="21"/>
                            <w:color w:val="0D0D0D"/>
                          </w:rPr>
                          <w:t>≥</w:t>
                        </w:r>
                        <w:r>
                          <w:rPr>
                            <w:rFonts w:ascii="仿宋_GB2312" w:hAnsi="仿宋_GB2312" w:cs="仿宋_GB2312" w:eastAsia="仿宋_GB2312"/>
                            <w:sz w:val="21"/>
                            <w:color w:val="0D0D0D"/>
                          </w:rPr>
                          <w:t>1.5m/min</w:t>
                        </w:r>
                        <w:r>
                          <w:rPr>
                            <w:rFonts w:ascii="仿宋_GB2312" w:hAnsi="仿宋_GB2312" w:cs="仿宋_GB2312" w:eastAsia="仿宋_GB2312"/>
                            <w:sz w:val="21"/>
                            <w:color w:val="0D0D0D"/>
                          </w:rPr>
                          <w:t>；</w:t>
                        </w:r>
                      </w:p>
                      <w:p>
                        <w:pPr>
                          <w:pStyle w:val="null3"/>
                          <w:jc w:val="both"/>
                        </w:pPr>
                        <w:r>
                          <w:rPr>
                            <w:rFonts w:ascii="仿宋_GB2312" w:hAnsi="仿宋_GB2312" w:cs="仿宋_GB2312" w:eastAsia="仿宋_GB2312"/>
                            <w:sz w:val="21"/>
                            <w:color w:val="0D0D0D"/>
                          </w:rPr>
                          <w:t>10、</w:t>
                        </w:r>
                        <w:r>
                          <w:rPr>
                            <w:rFonts w:ascii="仿宋_GB2312" w:hAnsi="仿宋_GB2312" w:cs="仿宋_GB2312" w:eastAsia="仿宋_GB2312"/>
                            <w:sz w:val="21"/>
                            <w:color w:val="0D0D0D"/>
                          </w:rPr>
                          <w:t>台车最大行走速度</w:t>
                        </w:r>
                        <w:r>
                          <w:rPr>
                            <w:rFonts w:ascii="仿宋_GB2312" w:hAnsi="仿宋_GB2312" w:cs="仿宋_GB2312" w:eastAsia="仿宋_GB2312"/>
                            <w:sz w:val="21"/>
                            <w:color w:val="0D0D0D"/>
                          </w:rPr>
                          <w:t>≥</w:t>
                        </w:r>
                        <w:r>
                          <w:rPr>
                            <w:rFonts w:ascii="仿宋_GB2312" w:hAnsi="仿宋_GB2312" w:cs="仿宋_GB2312" w:eastAsia="仿宋_GB2312"/>
                            <w:sz w:val="21"/>
                            <w:color w:val="0D0D0D"/>
                          </w:rPr>
                          <w:t>10Km/h</w:t>
                        </w:r>
                        <w:r>
                          <w:rPr>
                            <w:rFonts w:ascii="仿宋_GB2312" w:hAnsi="仿宋_GB2312" w:cs="仿宋_GB2312" w:eastAsia="仿宋_GB2312"/>
                            <w:sz w:val="21"/>
                            <w:color w:val="0D0D0D"/>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11</w:t>
                        </w:r>
                        <w:r>
                          <w:rPr>
                            <w:rFonts w:ascii="仿宋_GB2312" w:hAnsi="仿宋_GB2312" w:cs="仿宋_GB2312" w:eastAsia="仿宋_GB2312"/>
                            <w:sz w:val="21"/>
                          </w:rPr>
                          <w:t>、台车包含两个凿岩臂和一个吊篮臂，两台凿岩机。</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高原适应性</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具备发动机冷却液预热、进气预热等适应</w:t>
                        </w:r>
                        <w:r>
                          <w:rPr>
                            <w:rFonts w:ascii="仿宋_GB2312" w:hAnsi="仿宋_GB2312" w:cs="仿宋_GB2312" w:eastAsia="仿宋_GB2312"/>
                            <w:sz w:val="21"/>
                            <w:color w:val="0D0D0D"/>
                          </w:rPr>
                          <w:t>3000m</w:t>
                        </w:r>
                        <w:r>
                          <w:rPr>
                            <w:rFonts w:ascii="仿宋_GB2312" w:hAnsi="仿宋_GB2312" w:cs="仿宋_GB2312" w:eastAsia="仿宋_GB2312"/>
                            <w:sz w:val="21"/>
                            <w:color w:val="0D0D0D"/>
                          </w:rPr>
                          <w:t>高原高海拔、</w:t>
                        </w:r>
                        <w:r>
                          <w:rPr>
                            <w:rFonts w:ascii="仿宋_GB2312" w:hAnsi="仿宋_GB2312" w:cs="仿宋_GB2312" w:eastAsia="仿宋_GB2312"/>
                            <w:sz w:val="21"/>
                            <w:color w:val="0D0D0D"/>
                          </w:rPr>
                          <w:t>-20℃</w:t>
                        </w:r>
                        <w:r>
                          <w:rPr>
                            <w:rFonts w:ascii="仿宋_GB2312" w:hAnsi="仿宋_GB2312" w:cs="仿宋_GB2312" w:eastAsia="仿宋_GB2312"/>
                            <w:sz w:val="21"/>
                            <w:color w:val="0D0D0D"/>
                          </w:rPr>
                          <w:t>高寒等环境工作。</w:t>
                        </w:r>
                      </w:p>
                    </w:tc>
                  </w:tr>
                </w:tbl>
                <w:p>
                  <w:pPr>
                    <w:pStyle w:val="null3"/>
                    <w:jc w:val="both"/>
                  </w:pPr>
                  <w:r>
                    <w:rPr>
                      <w:rFonts w:ascii="仿宋_GB2312" w:hAnsi="仿宋_GB2312" w:cs="仿宋_GB2312" w:eastAsia="仿宋_GB2312"/>
                      <w:sz w:val="21"/>
                    </w:rPr>
                    <w:t>4.需执行的国家相关标准、行业标准、地方标准或者其他标准、规范；</w:t>
                  </w:r>
                </w:p>
                <w:p>
                  <w:pPr>
                    <w:pStyle w:val="null3"/>
                    <w:jc w:val="both"/>
                  </w:pPr>
                  <w:r>
                    <w:rPr>
                      <w:rFonts w:ascii="仿宋_GB2312" w:hAnsi="仿宋_GB2312" w:cs="仿宋_GB2312" w:eastAsia="仿宋_GB2312"/>
                      <w:sz w:val="21"/>
                    </w:rPr>
                    <w:t>执行标准：</w:t>
                  </w:r>
                  <w:r>
                    <w:rPr>
                      <w:rFonts w:ascii="仿宋_GB2312" w:hAnsi="仿宋_GB2312" w:cs="仿宋_GB2312" w:eastAsia="仿宋_GB2312"/>
                      <w:sz w:val="21"/>
                    </w:rPr>
                    <w:t>①工程机械用柴油机 技术条件（JB/T 4198.1-2020）；②非道路移动机械用柴油机排气污染物排放限值及测量方法(中国第三、四阶段)（GB 20891-2014）；③工程机械 动力换挡变速器</w:t>
                  </w:r>
                  <w:r>
                    <w:rPr>
                      <w:rFonts w:ascii="仿宋_GB2312" w:hAnsi="仿宋_GB2312" w:cs="仿宋_GB2312" w:eastAsia="仿宋_GB2312"/>
                      <w:sz w:val="21"/>
                    </w:rPr>
                    <w:t>（</w:t>
                  </w:r>
                  <w:r>
                    <w:rPr>
                      <w:rFonts w:ascii="仿宋_GB2312" w:hAnsi="仿宋_GB2312" w:cs="仿宋_GB2312" w:eastAsia="仿宋_GB2312"/>
                      <w:sz w:val="21"/>
                    </w:rPr>
                    <w:t>GB/T 25627-2010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④工程机械 焊接件通用技术条件（JB/T 5943-2018）⑤铁路大型施工机械 隧道凿岩台车（TB/T 3557-2020）</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1台</w:t>
                  </w:r>
                </w:p>
              </w:tc>
            </w:tr>
            <w:tr>
              <w:tc>
                <w:tcPr>
                  <w:tcW w:type="dxa" w:w="158"/>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拱架安装台车</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拱架安装台车</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.基本参数</w:t>
                  </w:r>
                </w:p>
                <w:tbl>
                  <w:tblPr>
                    <w:tblBorders>
                      <w:top w:val="none" w:color="000000" w:sz="4"/>
                      <w:left w:val="none" w:color="000000" w:sz="4"/>
                      <w:bottom w:val="none" w:color="000000" w:sz="4"/>
                      <w:right w:val="none" w:color="000000" w:sz="4"/>
                      <w:insideH w:val="none"/>
                      <w:insideV w:val="none"/>
                    </w:tblBorders>
                  </w:tblPr>
                  <w:tblGrid>
                    <w:gridCol w:w="213"/>
                    <w:gridCol w:w="673"/>
                    <w:gridCol w:w="621"/>
                  </w:tblGrid>
                  <w:tr>
                    <w:tc>
                      <w:tcPr>
                        <w:tcW w:type="dxa" w:w="213"/>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1.基本参数</w:t>
                        </w:r>
                      </w:p>
                      <w:p>
                        <w:pPr>
                          <w:pStyle w:val="null3"/>
                          <w:jc w:val="both"/>
                        </w:pP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技术参数</w:t>
                        </w: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技术参数要求</w:t>
                        </w:r>
                      </w:p>
                    </w:tc>
                  </w:tr>
                  <w:tr>
                    <w:tc>
                      <w:tcPr>
                        <w:tcW w:type="dxa" w:w="213"/>
                        <w:vMerge/>
                        <w:tcBorders>
                          <w:top w:val="singl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外形尺寸（长</w:t>
                        </w:r>
                        <w:r>
                          <w:rPr>
                            <w:rFonts w:ascii="仿宋_GB2312" w:hAnsi="仿宋_GB2312" w:cs="仿宋_GB2312" w:eastAsia="仿宋_GB2312"/>
                            <w:sz w:val="21"/>
                          </w:rPr>
                          <w:t>×宽×高，</w:t>
                        </w:r>
                        <w:r>
                          <w:rPr>
                            <w:rFonts w:ascii="仿宋_GB2312" w:hAnsi="仿宋_GB2312" w:cs="仿宋_GB2312" w:eastAsia="仿宋_GB2312"/>
                            <w:sz w:val="21"/>
                          </w:rPr>
                          <w:t>m</w:t>
                        </w:r>
                        <w:r>
                          <w:rPr>
                            <w:rFonts w:ascii="仿宋_GB2312" w:hAnsi="仿宋_GB2312" w:cs="仿宋_GB2312" w:eastAsia="仿宋_GB2312"/>
                            <w:sz w:val="21"/>
                          </w:rPr>
                          <w:t>）</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w:t>
                        </w:r>
                        <w:r>
                          <w:rPr>
                            <w:rFonts w:ascii="仿宋_GB2312" w:hAnsi="仿宋_GB2312" w:cs="仿宋_GB2312" w:eastAsia="仿宋_GB2312"/>
                            <w:sz w:val="21"/>
                          </w:rPr>
                          <w:t>3.6</w:t>
                        </w:r>
                      </w:p>
                    </w:tc>
                  </w:tr>
                  <w:tr>
                    <w:tc>
                      <w:tcPr>
                        <w:tcW w:type="dxa" w:w="213"/>
                        <w:vMerge/>
                        <w:tcBorders>
                          <w:top w:val="singl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最大作业范围（宽</w:t>
                        </w:r>
                        <w:r>
                          <w:rPr>
                            <w:rFonts w:ascii="仿宋_GB2312" w:hAnsi="仿宋_GB2312" w:cs="仿宋_GB2312" w:eastAsia="仿宋_GB2312"/>
                            <w:sz w:val="21"/>
                          </w:rPr>
                          <w:t>×高，mm）</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000×1</w:t>
                        </w:r>
                        <w:r>
                          <w:rPr>
                            <w:rFonts w:ascii="仿宋_GB2312" w:hAnsi="仿宋_GB2312" w:cs="仿宋_GB2312" w:eastAsia="仿宋_GB2312"/>
                            <w:sz w:val="21"/>
                          </w:rPr>
                          <w:t>3</w:t>
                        </w:r>
                        <w:r>
                          <w:rPr>
                            <w:rFonts w:ascii="仿宋_GB2312" w:hAnsi="仿宋_GB2312" w:cs="仿宋_GB2312" w:eastAsia="仿宋_GB2312"/>
                            <w:sz w:val="21"/>
                          </w:rPr>
                          <w:t>000</w:t>
                        </w:r>
                      </w:p>
                    </w:tc>
                  </w:tr>
                  <w:tr>
                    <w:tc>
                      <w:tcPr>
                        <w:tcW w:type="dxa" w:w="213"/>
                        <w:vMerge/>
                        <w:tcBorders>
                          <w:top w:val="singl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外电模式下整机功率（</w:t>
                        </w:r>
                        <w:r>
                          <w:rPr>
                            <w:rFonts w:ascii="仿宋_GB2312" w:hAnsi="仿宋_GB2312" w:cs="仿宋_GB2312" w:eastAsia="仿宋_GB2312"/>
                            <w:sz w:val="21"/>
                          </w:rPr>
                          <w:t>kW）</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60</w:t>
                        </w:r>
                      </w:p>
                    </w:tc>
                  </w:tr>
                  <w:tr>
                    <w:tc>
                      <w:tcPr>
                        <w:tcW w:type="dxa" w:w="213"/>
                        <w:vMerge/>
                        <w:tcBorders>
                          <w:top w:val="singl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机械手数量（个）</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r>
                </w:tbl>
                <w:p>
                  <w:pPr>
                    <w:pStyle w:val="null3"/>
                    <w:jc w:val="both"/>
                  </w:pPr>
                  <w:r>
                    <w:rPr>
                      <w:rFonts w:ascii="仿宋_GB2312" w:hAnsi="仿宋_GB2312" w:cs="仿宋_GB2312" w:eastAsia="仿宋_GB2312"/>
                      <w:sz w:val="21"/>
                    </w:rPr>
                    <w:t>2.设备配置参数</w:t>
                  </w:r>
                </w:p>
                <w:tbl>
                  <w:tblPr>
                    <w:tblBorders>
                      <w:top w:val="none" w:color="000000" w:sz="4"/>
                      <w:left w:val="none" w:color="000000" w:sz="4"/>
                      <w:bottom w:val="none" w:color="000000" w:sz="4"/>
                      <w:right w:val="none" w:color="000000" w:sz="4"/>
                      <w:insideH w:val="none"/>
                      <w:insideV w:val="none"/>
                    </w:tblBorders>
                  </w:tblPr>
                  <w:tblGrid>
                    <w:gridCol w:w="192"/>
                    <w:gridCol w:w="570"/>
                    <w:gridCol w:w="741"/>
                  </w:tblGrid>
                  <w:tr>
                    <w:tc>
                      <w:tcPr>
                        <w:tcW w:type="dxa" w:w="19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主工作臂</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操作方式</w:t>
                        </w:r>
                      </w:p>
                    </w:tc>
                    <w:tc>
                      <w:tcPr>
                        <w:tcW w:type="dxa" w:w="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遥控</w:t>
                        </w:r>
                      </w:p>
                    </w:tc>
                  </w:tr>
                  <w:tr>
                    <w:tc>
                      <w:tcPr>
                        <w:tcW w:type="dxa" w:w="192"/>
                        <w:vMerge/>
                        <w:tcBorders>
                          <w:top w:val="single" w:color="000000" w:sz="4"/>
                          <w:left w:val="single" w:color="000000" w:sz="4"/>
                          <w:bottom w:val="non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单臂最大承载负荷</w:t>
                        </w:r>
                        <w:r>
                          <w:rPr>
                            <w:rFonts w:ascii="仿宋_GB2312" w:hAnsi="仿宋_GB2312" w:cs="仿宋_GB2312" w:eastAsia="仿宋_GB2312"/>
                            <w:sz w:val="21"/>
                          </w:rPr>
                          <w:t>（</w:t>
                        </w:r>
                        <w:r>
                          <w:rPr>
                            <w:rFonts w:ascii="仿宋_GB2312" w:hAnsi="仿宋_GB2312" w:cs="仿宋_GB2312" w:eastAsia="仿宋_GB2312"/>
                            <w:sz w:val="21"/>
                          </w:rPr>
                          <w:t>kg)</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≥3000</w:t>
                        </w:r>
                      </w:p>
                    </w:tc>
                  </w:tr>
                  <w:tr>
                    <w:tc>
                      <w:tcPr>
                        <w:tcW w:type="dxa" w:w="192"/>
                        <w:vMerge/>
                        <w:tcBorders>
                          <w:top w:val="single" w:color="000000" w:sz="4"/>
                          <w:left w:val="single" w:color="000000" w:sz="4"/>
                          <w:bottom w:val="non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w:t>
                        </w:r>
                        <w:r>
                          <w:rPr>
                            <w:rFonts w:ascii="仿宋_GB2312" w:hAnsi="仿宋_GB2312" w:cs="仿宋_GB2312" w:eastAsia="仿宋_GB2312"/>
                            <w:sz w:val="21"/>
                          </w:rPr>
                          <w:t>主臂最大举升高度</w:t>
                        </w:r>
                        <w:r>
                          <w:rPr>
                            <w:rFonts w:ascii="仿宋_GB2312" w:hAnsi="仿宋_GB2312" w:cs="仿宋_GB2312" w:eastAsia="仿宋_GB2312"/>
                            <w:sz w:val="21"/>
                          </w:rPr>
                          <w:t>（</w:t>
                        </w:r>
                        <w:r>
                          <w:rPr>
                            <w:rFonts w:ascii="仿宋_GB2312" w:hAnsi="仿宋_GB2312" w:cs="仿宋_GB2312" w:eastAsia="仿宋_GB2312"/>
                            <w:sz w:val="21"/>
                          </w:rPr>
                          <w:t>m</w:t>
                        </w:r>
                        <w:r>
                          <w:rPr>
                            <w:rFonts w:ascii="仿宋_GB2312" w:hAnsi="仿宋_GB2312" w:cs="仿宋_GB2312" w:eastAsia="仿宋_GB2312"/>
                            <w:sz w:val="21"/>
                          </w:rPr>
                          <w:t>）</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r>
                  <w:tr>
                    <w:tc>
                      <w:tcPr>
                        <w:tcW w:type="dxa" w:w="192"/>
                        <w:vMerge/>
                        <w:tcBorders>
                          <w:top w:val="single" w:color="000000" w:sz="4"/>
                          <w:left w:val="single" w:color="000000" w:sz="4"/>
                          <w:bottom w:val="non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w:t>
                        </w:r>
                        <w:r>
                          <w:rPr>
                            <w:rFonts w:ascii="仿宋_GB2312" w:hAnsi="仿宋_GB2312" w:cs="仿宋_GB2312" w:eastAsia="仿宋_GB2312"/>
                            <w:sz w:val="21"/>
                          </w:rPr>
                          <w:t>主</w:t>
                        </w:r>
                        <w:r>
                          <w:rPr>
                            <w:rFonts w:ascii="仿宋_GB2312" w:hAnsi="仿宋_GB2312" w:cs="仿宋_GB2312" w:eastAsia="仿宋_GB2312"/>
                            <w:sz w:val="21"/>
                          </w:rPr>
                          <w:t>臂最大承载负荷</w:t>
                        </w:r>
                        <w:r>
                          <w:rPr>
                            <w:rFonts w:ascii="仿宋_GB2312" w:hAnsi="仿宋_GB2312" w:cs="仿宋_GB2312" w:eastAsia="仿宋_GB2312"/>
                            <w:sz w:val="21"/>
                          </w:rPr>
                          <w:t>（</w:t>
                        </w:r>
                        <w:r>
                          <w:rPr>
                            <w:rFonts w:ascii="仿宋_GB2312" w:hAnsi="仿宋_GB2312" w:cs="仿宋_GB2312" w:eastAsia="仿宋_GB2312"/>
                            <w:sz w:val="21"/>
                          </w:rPr>
                          <w:t>kg)</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≥3000</w:t>
                        </w:r>
                      </w:p>
                    </w:tc>
                  </w:tr>
                  <w:tr>
                    <w:tc>
                      <w:tcPr>
                        <w:tcW w:type="dxa" w:w="19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辅助臂</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个）</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192"/>
                        <w:vMerge/>
                        <w:tcBorders>
                          <w:top w:val="none" w:color="000000" w:sz="4"/>
                          <w:left w:val="single" w:color="000000" w:sz="4"/>
                          <w:bottom w:val="non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操作方式</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双控（无线遥控</w:t>
                        </w:r>
                        <w:r>
                          <w:rPr>
                            <w:rFonts w:ascii="仿宋_GB2312" w:hAnsi="仿宋_GB2312" w:cs="仿宋_GB2312" w:eastAsia="仿宋_GB2312"/>
                            <w:sz w:val="21"/>
                          </w:rPr>
                          <w:t>+工作篮本地）</w:t>
                        </w:r>
                      </w:p>
                    </w:tc>
                  </w:tr>
                  <w:tr>
                    <w:tc>
                      <w:tcPr>
                        <w:tcW w:type="dxa" w:w="192"/>
                        <w:vMerge/>
                        <w:tcBorders>
                          <w:top w:val="none" w:color="000000" w:sz="4"/>
                          <w:left w:val="single" w:color="000000" w:sz="4"/>
                          <w:bottom w:val="non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w:t>
                        </w:r>
                        <w:r>
                          <w:rPr>
                            <w:rFonts w:ascii="仿宋_GB2312" w:hAnsi="仿宋_GB2312" w:cs="仿宋_GB2312" w:eastAsia="仿宋_GB2312"/>
                            <w:sz w:val="21"/>
                          </w:rPr>
                          <w:t>单臂最大承载负荷</w:t>
                        </w:r>
                        <w:r>
                          <w:rPr>
                            <w:rFonts w:ascii="仿宋_GB2312" w:hAnsi="仿宋_GB2312" w:cs="仿宋_GB2312" w:eastAsia="仿宋_GB2312"/>
                            <w:sz w:val="21"/>
                          </w:rPr>
                          <w:t>（</w:t>
                        </w:r>
                        <w:r>
                          <w:rPr>
                            <w:rFonts w:ascii="仿宋_GB2312" w:hAnsi="仿宋_GB2312" w:cs="仿宋_GB2312" w:eastAsia="仿宋_GB2312"/>
                            <w:sz w:val="21"/>
                          </w:rPr>
                          <w:t>kg</w:t>
                        </w:r>
                        <w:r>
                          <w:rPr>
                            <w:rFonts w:ascii="仿宋_GB2312" w:hAnsi="仿宋_GB2312" w:cs="仿宋_GB2312" w:eastAsia="仿宋_GB2312"/>
                            <w:sz w:val="21"/>
                          </w:rPr>
                          <w:t>）</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≥1500</w:t>
                        </w:r>
                      </w:p>
                    </w:tc>
                  </w:tr>
                  <w:tr>
                    <w:tc>
                      <w:tcPr>
                        <w:tcW w:type="dxa" w:w="192"/>
                        <w:vMerge/>
                        <w:tcBorders>
                          <w:top w:val="none" w:color="000000" w:sz="4"/>
                          <w:left w:val="single" w:color="000000" w:sz="4"/>
                          <w:bottom w:val="non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工作篮尺寸（长</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mm)</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≥1000×2000</w:t>
                        </w:r>
                      </w:p>
                    </w:tc>
                  </w:tr>
                  <w:tr>
                    <w:tc>
                      <w:tcPr>
                        <w:tcW w:type="dxa" w:w="192"/>
                        <w:vMerge/>
                        <w:tcBorders>
                          <w:top w:val="none" w:color="000000" w:sz="4"/>
                          <w:left w:val="single" w:color="000000" w:sz="4"/>
                          <w:bottom w:val="non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举升作业宽度</w:t>
                        </w:r>
                        <w:r>
                          <w:rPr>
                            <w:rFonts w:ascii="仿宋_GB2312" w:hAnsi="仿宋_GB2312" w:cs="仿宋_GB2312" w:eastAsia="仿宋_GB2312"/>
                            <w:sz w:val="21"/>
                          </w:rPr>
                          <w:t>（</w:t>
                        </w:r>
                        <w:r>
                          <w:rPr>
                            <w:rFonts w:ascii="仿宋_GB2312" w:hAnsi="仿宋_GB2312" w:cs="仿宋_GB2312" w:eastAsia="仿宋_GB2312"/>
                            <w:sz w:val="21"/>
                          </w:rPr>
                          <w:t>m）</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r>
                  <w:tr>
                    <w:tc>
                      <w:tcPr>
                        <w:tcW w:type="dxa" w:w="192"/>
                        <w:vMerge/>
                        <w:tcBorders>
                          <w:top w:val="none" w:color="000000" w:sz="4"/>
                          <w:left w:val="single" w:color="000000" w:sz="4"/>
                          <w:bottom w:val="non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w:t>
                        </w:r>
                        <w:r>
                          <w:rPr>
                            <w:rFonts w:ascii="仿宋_GB2312" w:hAnsi="仿宋_GB2312" w:cs="仿宋_GB2312" w:eastAsia="仿宋_GB2312"/>
                            <w:sz w:val="21"/>
                          </w:rPr>
                          <w:t>最大举升高度</w:t>
                        </w:r>
                        <w:r>
                          <w:rPr>
                            <w:rFonts w:ascii="仿宋_GB2312" w:hAnsi="仿宋_GB2312" w:cs="仿宋_GB2312" w:eastAsia="仿宋_GB2312"/>
                            <w:sz w:val="21"/>
                          </w:rPr>
                          <w:t>（</w:t>
                        </w:r>
                        <w:r>
                          <w:rPr>
                            <w:rFonts w:ascii="仿宋_GB2312" w:hAnsi="仿宋_GB2312" w:cs="仿宋_GB2312" w:eastAsia="仿宋_GB2312"/>
                            <w:sz w:val="21"/>
                          </w:rPr>
                          <w:t>m）</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r>
                  <w:tr>
                    <w:tc>
                      <w:tcPr>
                        <w:tcW w:type="dxa" w:w="19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底盘</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行走速度</w:t>
                        </w:r>
                        <w:r>
                          <w:rPr>
                            <w:rFonts w:ascii="仿宋_GB2312" w:hAnsi="仿宋_GB2312" w:cs="仿宋_GB2312" w:eastAsia="仿宋_GB2312"/>
                            <w:sz w:val="21"/>
                          </w:rPr>
                          <w:t>（</w:t>
                        </w:r>
                        <w:r>
                          <w:rPr>
                            <w:rFonts w:ascii="仿宋_GB2312" w:hAnsi="仿宋_GB2312" w:cs="仿宋_GB2312" w:eastAsia="仿宋_GB2312"/>
                            <w:sz w:val="21"/>
                            <w:color w:val="000000"/>
                          </w:rPr>
                          <w:t>km/h</w:t>
                        </w:r>
                        <w:r>
                          <w:rPr>
                            <w:rFonts w:ascii="仿宋_GB2312" w:hAnsi="仿宋_GB2312" w:cs="仿宋_GB2312" w:eastAsia="仿宋_GB2312"/>
                            <w:sz w:val="21"/>
                          </w:rPr>
                          <w:t>）</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25</w:t>
                        </w:r>
                      </w:p>
                    </w:tc>
                  </w:tr>
                  <w:tr>
                    <w:tc>
                      <w:tcPr>
                        <w:tcW w:type="dxa" w:w="192"/>
                        <w:vMerge/>
                        <w:tcBorders>
                          <w:top w:val="none" w:color="000000" w:sz="4"/>
                          <w:left w:val="single" w:color="000000" w:sz="4"/>
                          <w:bottom w:val="non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w:t>
                        </w:r>
                        <w:r>
                          <w:rPr>
                            <w:rFonts w:ascii="仿宋_GB2312" w:hAnsi="仿宋_GB2312" w:cs="仿宋_GB2312" w:eastAsia="仿宋_GB2312"/>
                            <w:sz w:val="21"/>
                          </w:rPr>
                          <w:t>发动机功率（</w:t>
                        </w:r>
                        <w:r>
                          <w:rPr>
                            <w:rFonts w:ascii="仿宋_GB2312" w:hAnsi="仿宋_GB2312" w:cs="仿宋_GB2312" w:eastAsia="仿宋_GB2312"/>
                            <w:sz w:val="21"/>
                          </w:rPr>
                          <w:t>kw）</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9</w:t>
                        </w:r>
                      </w:p>
                    </w:tc>
                  </w:tr>
                  <w:tr>
                    <w:tc>
                      <w:tcPr>
                        <w:tcW w:type="dxa" w:w="192"/>
                        <w:vMerge/>
                        <w:tcBorders>
                          <w:top w:val="none" w:color="000000" w:sz="4"/>
                          <w:left w:val="single" w:color="000000" w:sz="4"/>
                          <w:bottom w:val="non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w:t>
                        </w:r>
                        <w:r>
                          <w:rPr>
                            <w:rFonts w:ascii="仿宋_GB2312" w:hAnsi="仿宋_GB2312" w:cs="仿宋_GB2312" w:eastAsia="仿宋_GB2312"/>
                            <w:sz w:val="21"/>
                          </w:rPr>
                          <w:t>排放标准</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不低于</w:t>
                        </w:r>
                        <w:r>
                          <w:rPr>
                            <w:rFonts w:ascii="仿宋_GB2312" w:hAnsi="仿宋_GB2312" w:cs="仿宋_GB2312" w:eastAsia="仿宋_GB2312"/>
                            <w:sz w:val="21"/>
                          </w:rPr>
                          <w:t>国</w:t>
                        </w:r>
                        <w:r>
                          <w:rPr>
                            <w:rFonts w:ascii="仿宋_GB2312" w:hAnsi="仿宋_GB2312" w:cs="仿宋_GB2312" w:eastAsia="仿宋_GB2312"/>
                            <w:sz w:val="21"/>
                          </w:rPr>
                          <w:t>IV标准</w:t>
                        </w:r>
                      </w:p>
                    </w:tc>
                  </w:tr>
                  <w:tr>
                    <w:tc>
                      <w:tcPr>
                        <w:tcW w:type="dxa" w:w="192"/>
                        <w:vMerge/>
                        <w:tcBorders>
                          <w:top w:val="none" w:color="000000" w:sz="4"/>
                          <w:left w:val="single" w:color="000000" w:sz="4"/>
                          <w:bottom w:val="non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爬坡能力</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w:t>
                        </w:r>
                      </w:p>
                    </w:tc>
                  </w:tr>
                  <w:tr>
                    <w:tc>
                      <w:tcPr>
                        <w:tcW w:type="dxa" w:w="192"/>
                        <w:vMerge/>
                        <w:tcBorders>
                          <w:top w:val="none" w:color="000000" w:sz="4"/>
                          <w:left w:val="single" w:color="000000" w:sz="4"/>
                          <w:bottom w:val="non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离地间隙</w:t>
                        </w:r>
                        <w:r>
                          <w:rPr>
                            <w:rFonts w:ascii="仿宋_GB2312" w:hAnsi="仿宋_GB2312" w:cs="仿宋_GB2312" w:eastAsia="仿宋_GB2312"/>
                            <w:sz w:val="21"/>
                          </w:rPr>
                          <w:t>（</w:t>
                        </w:r>
                        <w:r>
                          <w:rPr>
                            <w:rFonts w:ascii="仿宋_GB2312" w:hAnsi="仿宋_GB2312" w:cs="仿宋_GB2312" w:eastAsia="仿宋_GB2312"/>
                            <w:sz w:val="21"/>
                          </w:rPr>
                          <w:t>mm</w:t>
                        </w:r>
                        <w:r>
                          <w:rPr>
                            <w:rFonts w:ascii="仿宋_GB2312" w:hAnsi="仿宋_GB2312" w:cs="仿宋_GB2312" w:eastAsia="仿宋_GB2312"/>
                            <w:sz w:val="21"/>
                          </w:rPr>
                          <w:t>）</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w:t>
                        </w:r>
                      </w:p>
                    </w:tc>
                  </w:tr>
                  <w:tr>
                    <w:tc>
                      <w:tcPr>
                        <w:tcW w:type="dxa" w:w="192"/>
                        <w:vMerge/>
                        <w:tcBorders>
                          <w:top w:val="none" w:color="000000" w:sz="4"/>
                          <w:left w:val="single" w:color="000000" w:sz="4"/>
                          <w:bottom w:val="non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最小内回转半径</w:t>
                        </w:r>
                        <w:r>
                          <w:rPr>
                            <w:rFonts w:ascii="仿宋_GB2312" w:hAnsi="仿宋_GB2312" w:cs="仿宋_GB2312" w:eastAsia="仿宋_GB2312"/>
                            <w:sz w:val="21"/>
                          </w:rPr>
                          <w:t>（</w:t>
                        </w:r>
                        <w:r>
                          <w:rPr>
                            <w:rFonts w:ascii="仿宋_GB2312" w:hAnsi="仿宋_GB2312" w:cs="仿宋_GB2312" w:eastAsia="仿宋_GB2312"/>
                            <w:sz w:val="21"/>
                          </w:rPr>
                          <w:t>m）</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p>
                    </w:tc>
                  </w:tr>
                  <w:tr>
                    <w:tc>
                      <w:tcPr>
                        <w:tcW w:type="dxa" w:w="192"/>
                        <w:vMerge/>
                        <w:tcBorders>
                          <w:top w:val="none" w:color="000000" w:sz="4"/>
                          <w:left w:val="single" w:color="000000" w:sz="4"/>
                          <w:bottom w:val="non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最小外回转半径</w:t>
                        </w:r>
                        <w:r>
                          <w:rPr>
                            <w:rFonts w:ascii="仿宋_GB2312" w:hAnsi="仿宋_GB2312" w:cs="仿宋_GB2312" w:eastAsia="仿宋_GB2312"/>
                            <w:sz w:val="21"/>
                          </w:rPr>
                          <w:t>（</w:t>
                        </w:r>
                        <w:r>
                          <w:rPr>
                            <w:rFonts w:ascii="仿宋_GB2312" w:hAnsi="仿宋_GB2312" w:cs="仿宋_GB2312" w:eastAsia="仿宋_GB2312"/>
                            <w:sz w:val="21"/>
                          </w:rPr>
                          <w:t>m）</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≤11.5</w:t>
                        </w:r>
                      </w:p>
                    </w:tc>
                  </w:tr>
                </w:tbl>
                <w:p>
                  <w:pPr>
                    <w:pStyle w:val="null3"/>
                    <w:jc w:val="both"/>
                  </w:pPr>
                  <w:r>
                    <w:rPr>
                      <w:rFonts w:ascii="仿宋_GB2312" w:hAnsi="仿宋_GB2312" w:cs="仿宋_GB2312" w:eastAsia="仿宋_GB2312"/>
                      <w:sz w:val="21"/>
                      <w:b/>
                    </w:rPr>
                    <w:t>3.其他技术要求</w:t>
                  </w:r>
                </w:p>
                <w:tbl>
                  <w:tblPr>
                    <w:tblBorders>
                      <w:top w:val="none" w:color="000000" w:sz="4"/>
                      <w:left w:val="none" w:color="000000" w:sz="4"/>
                      <w:bottom w:val="none" w:color="000000" w:sz="4"/>
                      <w:right w:val="none" w:color="000000" w:sz="4"/>
                      <w:insideH w:val="none"/>
                      <w:insideV w:val="none"/>
                    </w:tblBorders>
                  </w:tblPr>
                  <w:tblGrid>
                    <w:gridCol w:w="293"/>
                    <w:gridCol w:w="1214"/>
                  </w:tblGrid>
                  <w:tr>
                    <w:tc>
                      <w:tcPr>
                        <w:tcW w:type="dxa" w:w="150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功能要求</w:t>
                        </w:r>
                      </w:p>
                    </w:tc>
                  </w:tr>
                  <w:tr>
                    <w:tc>
                      <w:tcPr>
                        <w:tcW w:type="dxa" w:w="2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底盘系统</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整机刚性底盘，采用机械液力传动，发动机功率</w:t>
                        </w:r>
                        <w:r>
                          <w:rPr>
                            <w:rFonts w:ascii="仿宋_GB2312" w:hAnsi="仿宋_GB2312" w:cs="仿宋_GB2312" w:eastAsia="仿宋_GB2312"/>
                            <w:sz w:val="21"/>
                          </w:rPr>
                          <w:t>≥</w:t>
                        </w:r>
                        <w:r>
                          <w:rPr>
                            <w:rFonts w:ascii="仿宋_GB2312" w:hAnsi="仿宋_GB2312" w:cs="仿宋_GB2312" w:eastAsia="仿宋_GB2312"/>
                            <w:sz w:val="21"/>
                          </w:rPr>
                          <w:t>129</w:t>
                        </w:r>
                        <w:r>
                          <w:rPr>
                            <w:rFonts w:ascii="仿宋_GB2312" w:hAnsi="仿宋_GB2312" w:cs="仿宋_GB2312" w:eastAsia="仿宋_GB2312"/>
                            <w:sz w:val="21"/>
                          </w:rPr>
                          <w:t>kW。</w:t>
                        </w:r>
                      </w:p>
                    </w:tc>
                  </w:tr>
                  <w:tr>
                    <w:tc>
                      <w:tcPr>
                        <w:tcW w:type="dxa" w:w="293"/>
                        <w:vMerge/>
                        <w:tcBorders>
                          <w:top w:val="none" w:color="000000" w:sz="4"/>
                          <w:left w:val="single" w:color="000000" w:sz="4"/>
                          <w:bottom w:val="singl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工程机械底盘，四轮驱动，可适应复杂道路和各种隧道施工。</w:t>
                        </w:r>
                      </w:p>
                    </w:tc>
                  </w:tr>
                  <w:tr>
                    <w:tc>
                      <w:tcPr>
                        <w:tcW w:type="dxa" w:w="293"/>
                        <w:vMerge/>
                        <w:tcBorders>
                          <w:top w:val="none" w:color="000000" w:sz="4"/>
                          <w:left w:val="single" w:color="000000" w:sz="4"/>
                          <w:bottom w:val="singl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配备电缆卷筒，电缆长度</w:t>
                        </w:r>
                        <w:r>
                          <w:rPr>
                            <w:rFonts w:ascii="仿宋_GB2312" w:hAnsi="仿宋_GB2312" w:cs="仿宋_GB2312" w:eastAsia="仿宋_GB2312"/>
                            <w:sz w:val="21"/>
                          </w:rPr>
                          <w:t>≥80m</w:t>
                        </w:r>
                        <w:r>
                          <w:rPr>
                            <w:rFonts w:ascii="仿宋_GB2312" w:hAnsi="仿宋_GB2312" w:cs="仿宋_GB2312" w:eastAsia="仿宋_GB2312"/>
                            <w:sz w:val="21"/>
                          </w:rPr>
                          <w:t>。</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其他功能要求</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1、三臂、三机械手结构设计，多种拱架安装方法，精确定位，高效作业。满足25#工字钢及以下的1-3榀立架，还可满足钢筋格栅拱架，型钢格栅拱架、折叠拱架、花拱架的立架需求。</w:t>
                        </w:r>
                      </w:p>
                      <w:p>
                        <w:pPr>
                          <w:pStyle w:val="null3"/>
                          <w:jc w:val="both"/>
                        </w:pPr>
                        <w:r>
                          <w:rPr>
                            <w:rFonts w:ascii="仿宋_GB2312" w:hAnsi="仿宋_GB2312" w:cs="仿宋_GB2312" w:eastAsia="仿宋_GB2312"/>
                            <w:sz w:val="21"/>
                          </w:rPr>
                          <w:t>2、满足高铁双线隧道、单线隧道全断面及台阶开挖的立拱架施工</w:t>
                        </w:r>
                      </w:p>
                      <w:p>
                        <w:pPr>
                          <w:pStyle w:val="null3"/>
                          <w:jc w:val="both"/>
                        </w:pPr>
                        <w:r>
                          <w:rPr>
                            <w:rFonts w:ascii="仿宋_GB2312" w:hAnsi="仿宋_GB2312" w:cs="仿宋_GB2312" w:eastAsia="仿宋_GB2312"/>
                            <w:sz w:val="21"/>
                          </w:rPr>
                          <w:t>3、采用遥控操作+本地操作，左右工作臂含本地操作2套；</w:t>
                        </w:r>
                      </w:p>
                      <w:p>
                        <w:pPr>
                          <w:pStyle w:val="null3"/>
                          <w:jc w:val="both"/>
                        </w:pPr>
                        <w:r>
                          <w:rPr>
                            <w:rFonts w:ascii="仿宋_GB2312" w:hAnsi="仿宋_GB2312" w:cs="仿宋_GB2312" w:eastAsia="仿宋_GB2312"/>
                            <w:sz w:val="21"/>
                          </w:rPr>
                          <w:t>4、轮式刚性工程底盘结构，四轮驱动。</w:t>
                        </w:r>
                      </w:p>
                      <w:p>
                        <w:pPr>
                          <w:pStyle w:val="null3"/>
                          <w:jc w:val="both"/>
                        </w:pPr>
                        <w:r>
                          <w:rPr>
                            <w:rFonts w:ascii="仿宋_GB2312" w:hAnsi="仿宋_GB2312" w:cs="仿宋_GB2312" w:eastAsia="仿宋_GB2312"/>
                            <w:sz w:val="21"/>
                          </w:rPr>
                          <w:t>5、采用柴电双动力，正常工作时使用电力，柴油发动机做为应急动力源；</w:t>
                        </w:r>
                      </w:p>
                      <w:p>
                        <w:pPr>
                          <w:pStyle w:val="null3"/>
                          <w:jc w:val="both"/>
                        </w:pPr>
                        <w:r>
                          <w:rPr>
                            <w:rFonts w:ascii="仿宋_GB2312" w:hAnsi="仿宋_GB2312" w:cs="仿宋_GB2312" w:eastAsia="仿宋_GB2312"/>
                            <w:sz w:val="21"/>
                          </w:rPr>
                          <w:t>6、驾驶室：具备双向驾驶能力，视野良好，驾驶方便灵活；</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拱架安装</w:t>
                        </w:r>
                        <w:r>
                          <w:rPr>
                            <w:rFonts w:ascii="仿宋_GB2312" w:hAnsi="仿宋_GB2312" w:cs="仿宋_GB2312" w:eastAsia="仿宋_GB2312"/>
                            <w:sz w:val="21"/>
                          </w:rPr>
                          <w:t>时具备支腿与臂架互锁、应急球阀等安全防护功能；</w:t>
                        </w:r>
                      </w:p>
                      <w:p>
                        <w:pPr>
                          <w:pStyle w:val="null3"/>
                          <w:jc w:val="both"/>
                        </w:pPr>
                        <w:r>
                          <w:rPr>
                            <w:rFonts w:ascii="仿宋_GB2312" w:hAnsi="仿宋_GB2312" w:cs="仿宋_GB2312" w:eastAsia="仿宋_GB2312"/>
                            <w:sz w:val="21"/>
                            <w:color w:val="0D0D0D"/>
                          </w:rPr>
                          <w:t>8、设备包含一个主工作臂、两个辅助工作臂，三个机械手。</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D0D0D"/>
                          </w:rPr>
                          <w:t>高原适应性</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D0D0D"/>
                          </w:rPr>
                          <w:t>具备发动机进气预热等</w:t>
                        </w:r>
                        <w:r>
                          <w:rPr>
                            <w:rFonts w:ascii="仿宋_GB2312" w:hAnsi="仿宋_GB2312" w:cs="仿宋_GB2312" w:eastAsia="仿宋_GB2312"/>
                            <w:sz w:val="21"/>
                            <w:color w:val="0D0D0D"/>
                          </w:rPr>
                          <w:t>，</w:t>
                        </w:r>
                        <w:r>
                          <w:rPr>
                            <w:rFonts w:ascii="仿宋_GB2312" w:hAnsi="仿宋_GB2312" w:cs="仿宋_GB2312" w:eastAsia="仿宋_GB2312"/>
                            <w:sz w:val="21"/>
                            <w:color w:val="0D0D0D"/>
                          </w:rPr>
                          <w:t>适应</w:t>
                        </w:r>
                        <w:r>
                          <w:rPr>
                            <w:rFonts w:ascii="仿宋_GB2312" w:hAnsi="仿宋_GB2312" w:cs="仿宋_GB2312" w:eastAsia="仿宋_GB2312"/>
                            <w:sz w:val="21"/>
                            <w:color w:val="0D0D0D"/>
                          </w:rPr>
                          <w:t>3000m</w:t>
                        </w:r>
                        <w:r>
                          <w:rPr>
                            <w:rFonts w:ascii="仿宋_GB2312" w:hAnsi="仿宋_GB2312" w:cs="仿宋_GB2312" w:eastAsia="仿宋_GB2312"/>
                            <w:sz w:val="21"/>
                            <w:color w:val="0D0D0D"/>
                          </w:rPr>
                          <w:t>高原高海拔、</w:t>
                        </w:r>
                        <w:r>
                          <w:rPr>
                            <w:rFonts w:ascii="仿宋_GB2312" w:hAnsi="仿宋_GB2312" w:cs="仿宋_GB2312" w:eastAsia="仿宋_GB2312"/>
                            <w:sz w:val="21"/>
                            <w:color w:val="0D0D0D"/>
                          </w:rPr>
                          <w:t>-20℃</w:t>
                        </w:r>
                        <w:r>
                          <w:rPr>
                            <w:rFonts w:ascii="仿宋_GB2312" w:hAnsi="仿宋_GB2312" w:cs="仿宋_GB2312" w:eastAsia="仿宋_GB2312"/>
                            <w:sz w:val="21"/>
                            <w:color w:val="0D0D0D"/>
                          </w:rPr>
                          <w:t>高寒等环境工作。</w:t>
                        </w:r>
                      </w:p>
                    </w:tc>
                  </w:tr>
                </w:tbl>
                <w:p>
                  <w:pPr>
                    <w:pStyle w:val="null3"/>
                    <w:jc w:val="both"/>
                  </w:pPr>
                  <w:r>
                    <w:rPr>
                      <w:rFonts w:ascii="仿宋_GB2312" w:hAnsi="仿宋_GB2312" w:cs="仿宋_GB2312" w:eastAsia="仿宋_GB2312"/>
                      <w:sz w:val="21"/>
                    </w:rPr>
                    <w:t>4.需执行的国家相关标准、行业标准、地方标准或者其他标准、规范；</w:t>
                  </w:r>
                </w:p>
                <w:p>
                  <w:pPr>
                    <w:pStyle w:val="null3"/>
                    <w:jc w:val="both"/>
                  </w:pPr>
                  <w:r>
                    <w:rPr>
                      <w:rFonts w:ascii="仿宋_GB2312" w:hAnsi="仿宋_GB2312" w:cs="仿宋_GB2312" w:eastAsia="仿宋_GB2312"/>
                      <w:sz w:val="21"/>
                    </w:rPr>
                    <w:t>执行标准：</w:t>
                  </w:r>
                  <w:r>
                    <w:rPr>
                      <w:rFonts w:ascii="仿宋_GB2312" w:hAnsi="仿宋_GB2312" w:cs="仿宋_GB2312" w:eastAsia="仿宋_GB2312"/>
                      <w:sz w:val="21"/>
                    </w:rPr>
                    <w:t>①工程机械用柴油机 技术条件（JB/T 4198.1-2020）；②非道路移动机械用柴油机排气污染物排放限值及测量方法(中国第三、四阶段)（GB 20891-2014）；③工程机械 动力换挡变速器</w:t>
                  </w:r>
                  <w:r>
                    <w:rPr>
                      <w:rFonts w:ascii="仿宋_GB2312" w:hAnsi="仿宋_GB2312" w:cs="仿宋_GB2312" w:eastAsia="仿宋_GB2312"/>
                      <w:sz w:val="21"/>
                    </w:rPr>
                    <w:t>（</w:t>
                  </w:r>
                  <w:r>
                    <w:rPr>
                      <w:rFonts w:ascii="仿宋_GB2312" w:hAnsi="仿宋_GB2312" w:cs="仿宋_GB2312" w:eastAsia="仿宋_GB2312"/>
                      <w:sz w:val="21"/>
                    </w:rPr>
                    <w:t>GB/T 25627-2010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④工程机械 焊接件通用技术条件（JB/T 5943-2018）</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1台</w:t>
                  </w:r>
                </w:p>
              </w:tc>
            </w:tr>
          </w:tbl>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、技术保障</w:t>
            </w:r>
          </w:p>
          <w:p>
            <w:pPr>
              <w:pStyle w:val="null3"/>
              <w:jc w:val="both"/>
            </w:pPr>
            <w:r>
              <w:rPr>
                <w:rFonts w:ascii="仿宋_GB2312" w:hAnsi="仿宋_GB2312" w:cs="仿宋_GB2312" w:eastAsia="仿宋_GB2312"/>
                <w:sz w:val="21"/>
              </w:rPr>
              <w:t>供应商需</w:t>
            </w:r>
            <w:r>
              <w:rPr>
                <w:rFonts w:ascii="仿宋_GB2312" w:hAnsi="仿宋_GB2312" w:cs="仿宋_GB2312" w:eastAsia="仿宋_GB2312"/>
                <w:sz w:val="21"/>
              </w:rPr>
              <w:t>前往</w:t>
            </w:r>
            <w:r>
              <w:rPr>
                <w:rFonts w:ascii="仿宋_GB2312" w:hAnsi="仿宋_GB2312" w:cs="仿宋_GB2312" w:eastAsia="仿宋_GB2312"/>
                <w:sz w:val="21"/>
              </w:rPr>
              <w:t>采购人</w:t>
            </w:r>
            <w:r>
              <w:rPr>
                <w:rFonts w:ascii="仿宋_GB2312" w:hAnsi="仿宋_GB2312" w:cs="仿宋_GB2312" w:eastAsia="仿宋_GB2312"/>
                <w:sz w:val="21"/>
              </w:rPr>
              <w:t>指定地点</w:t>
            </w:r>
            <w:r>
              <w:rPr>
                <w:rFonts w:ascii="仿宋_GB2312" w:hAnsi="仿宋_GB2312" w:cs="仿宋_GB2312" w:eastAsia="仿宋_GB2312"/>
                <w:sz w:val="21"/>
              </w:rPr>
              <w:t>开展</w:t>
            </w:r>
            <w:r>
              <w:rPr>
                <w:rFonts w:ascii="仿宋_GB2312" w:hAnsi="仿宋_GB2312" w:cs="仿宋_GB2312" w:eastAsia="仿宋_GB2312"/>
                <w:sz w:val="21"/>
              </w:rPr>
              <w:t>两臂凿岩台车和拱架安装台车培训，包括</w:t>
            </w:r>
            <w:r>
              <w:rPr>
                <w:rFonts w:ascii="仿宋_GB2312" w:hAnsi="仿宋_GB2312" w:cs="仿宋_GB2312" w:eastAsia="仿宋_GB2312"/>
                <w:sz w:val="21"/>
              </w:rPr>
              <w:t>整车介绍、功能认知、施工应用、操作流程、整车机械、电气、液压、流体系统知识、故障排查维修等方面培训，培训时间不低于</w:t>
            </w:r>
            <w:r>
              <w:rPr>
                <w:rFonts w:ascii="仿宋_GB2312" w:hAnsi="仿宋_GB2312" w:cs="仿宋_GB2312" w:eastAsia="仿宋_GB2312"/>
                <w:sz w:val="21"/>
              </w:rPr>
              <w:t>30天，培训总课时不少于150课时，另至少需培养采购人单位</w:t>
            </w:r>
            <w:r>
              <w:rPr>
                <w:rFonts w:ascii="仿宋_GB2312" w:hAnsi="仿宋_GB2312" w:cs="仿宋_GB2312" w:eastAsia="仿宋_GB2312"/>
                <w:sz w:val="21"/>
              </w:rPr>
              <w:t>15名</w:t>
            </w:r>
            <w:r>
              <w:rPr>
                <w:rFonts w:ascii="仿宋_GB2312" w:hAnsi="仿宋_GB2312" w:cs="仿宋_GB2312" w:eastAsia="仿宋_GB2312"/>
                <w:sz w:val="21"/>
              </w:rPr>
              <w:t>员工取得国铁集团认可的</w:t>
            </w:r>
            <w:r>
              <w:rPr>
                <w:rFonts w:ascii="仿宋_GB2312" w:hAnsi="仿宋_GB2312" w:cs="仿宋_GB2312" w:eastAsia="仿宋_GB2312"/>
                <w:sz w:val="21"/>
              </w:rPr>
              <w:t>凿岩台车</w:t>
            </w:r>
            <w:r>
              <w:rPr>
                <w:rFonts w:ascii="仿宋_GB2312" w:hAnsi="仿宋_GB2312" w:cs="仿宋_GB2312" w:eastAsia="仿宋_GB2312"/>
                <w:sz w:val="21"/>
              </w:rPr>
              <w:t>操作工</w:t>
            </w:r>
            <w:r>
              <w:rPr>
                <w:rFonts w:ascii="仿宋_GB2312" w:hAnsi="仿宋_GB2312" w:cs="仿宋_GB2312" w:eastAsia="仿宋_GB2312"/>
                <w:sz w:val="21"/>
              </w:rPr>
              <w:t>高</w:t>
            </w:r>
            <w:r>
              <w:rPr>
                <w:rFonts w:ascii="仿宋_GB2312" w:hAnsi="仿宋_GB2312" w:cs="仿宋_GB2312" w:eastAsia="仿宋_GB2312"/>
                <w:sz w:val="21"/>
              </w:rPr>
              <w:t>级证书，</w:t>
            </w:r>
            <w:r>
              <w:rPr>
                <w:rFonts w:ascii="仿宋_GB2312" w:hAnsi="仿宋_GB2312" w:cs="仿宋_GB2312" w:eastAsia="仿宋_GB2312"/>
                <w:sz w:val="21"/>
              </w:rPr>
              <w:t>以及</w:t>
            </w:r>
            <w:r>
              <w:rPr>
                <w:rFonts w:ascii="仿宋_GB2312" w:hAnsi="仿宋_GB2312" w:cs="仿宋_GB2312" w:eastAsia="仿宋_GB2312"/>
                <w:sz w:val="21"/>
              </w:rPr>
              <w:t>15名</w:t>
            </w:r>
            <w:r>
              <w:rPr>
                <w:rFonts w:ascii="仿宋_GB2312" w:hAnsi="仿宋_GB2312" w:cs="仿宋_GB2312" w:eastAsia="仿宋_GB2312"/>
                <w:sz w:val="21"/>
              </w:rPr>
              <w:t>员工取得国铁集团认可的</w:t>
            </w:r>
            <w:r>
              <w:rPr>
                <w:rFonts w:ascii="仿宋_GB2312" w:hAnsi="仿宋_GB2312" w:cs="仿宋_GB2312" w:eastAsia="仿宋_GB2312"/>
                <w:sz w:val="21"/>
              </w:rPr>
              <w:t>拱架安装台车</w:t>
            </w:r>
            <w:r>
              <w:rPr>
                <w:rFonts w:ascii="仿宋_GB2312" w:hAnsi="仿宋_GB2312" w:cs="仿宋_GB2312" w:eastAsia="仿宋_GB2312"/>
                <w:sz w:val="21"/>
              </w:rPr>
              <w:t>操作工</w:t>
            </w:r>
            <w:r>
              <w:rPr>
                <w:rFonts w:ascii="仿宋_GB2312" w:hAnsi="仿宋_GB2312" w:cs="仿宋_GB2312" w:eastAsia="仿宋_GB2312"/>
                <w:sz w:val="21"/>
              </w:rPr>
              <w:t>中级</w:t>
            </w:r>
            <w:r>
              <w:rPr>
                <w:rFonts w:ascii="仿宋_GB2312" w:hAnsi="仿宋_GB2312" w:cs="仿宋_GB2312" w:eastAsia="仿宋_GB2312"/>
                <w:sz w:val="21"/>
              </w:rPr>
              <w:t>证书</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名操作工考证培训不纳入培训总课时。</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、采购标的的专用工具、备品备件、安装调试及配套工程、质量保证、售后服务等要求</w:t>
            </w:r>
          </w:p>
          <w:p>
            <w:pPr>
              <w:pStyle w:val="null3"/>
              <w:jc w:val="both"/>
            </w:pPr>
            <w:r>
              <w:rPr>
                <w:rFonts w:ascii="仿宋_GB2312" w:hAnsi="仿宋_GB2312" w:cs="仿宋_GB2312" w:eastAsia="仿宋_GB2312"/>
                <w:sz w:val="21"/>
              </w:rPr>
              <w:t>安装调试及配套工程要求：所有硬件设施需安装调试到位，场地改造等工作需要在硬件设备到达之前完工；内涵建设工作待所有硬件设施安装调试完成后进行或同步进行。保修期间维修及零件更换费用、人工及差旅费等费用全部由投标人负担（人为损坏除外）。在保修期内，如设备或零部件因非人为因素出现故障而造成短期停用的，经双方确认后，保修期相应顺延，顺延期限由双方协商确定。</w:t>
            </w:r>
          </w:p>
          <w:p>
            <w:pPr>
              <w:pStyle w:val="null3"/>
              <w:jc w:val="both"/>
            </w:pPr>
            <w:r>
              <w:rPr>
                <w:rFonts w:ascii="仿宋_GB2312" w:hAnsi="仿宋_GB2312" w:cs="仿宋_GB2312" w:eastAsia="仿宋_GB2312"/>
                <w:sz w:val="21"/>
              </w:rPr>
              <w:t>四、供货范围</w:t>
            </w:r>
          </w:p>
          <w:p>
            <w:pPr>
              <w:pStyle w:val="null3"/>
              <w:jc w:val="both"/>
            </w:pPr>
            <w:r>
              <w:rPr>
                <w:rFonts w:ascii="仿宋_GB2312" w:hAnsi="仿宋_GB2312" w:cs="仿宋_GB2312" w:eastAsia="仿宋_GB2312"/>
                <w:sz w:val="21"/>
              </w:rPr>
              <w:t>1.供应商应提供部件完整、性能良好的双臂凿岩台车和拱架安装台车各一台；</w:t>
            </w:r>
          </w:p>
          <w:p>
            <w:pPr>
              <w:pStyle w:val="null3"/>
              <w:jc w:val="both"/>
            </w:pPr>
            <w:r>
              <w:rPr>
                <w:rFonts w:ascii="仿宋_GB2312" w:hAnsi="仿宋_GB2312" w:cs="仿宋_GB2312" w:eastAsia="仿宋_GB2312"/>
                <w:sz w:val="21"/>
              </w:rPr>
              <w:t>2.供应商应提供设备配套资料包含但不限于：提供设备全部图纸，液压系统和电气系统的原理和安装图纸；控制系统的原理图纸；中文使用维护手册、修理手册、操作手册、零部件手册（包括设备详细说明、零部件性能、结构、使用、维护和修理）；零部件手册内容应有每个零部件技术规格和编号；提供制造厂家的检验测试报告或产品出厂检测报告。</w:t>
            </w:r>
          </w:p>
          <w:p>
            <w:pPr>
              <w:pStyle w:val="null3"/>
            </w:pPr>
            <w:r>
              <w:rPr>
                <w:rFonts w:ascii="仿宋_GB2312" w:hAnsi="仿宋_GB2312" w:cs="仿宋_GB2312" w:eastAsia="仿宋_GB2312"/>
                <w:sz w:val="21"/>
              </w:rPr>
              <w:t>3.供应商应提供设备的随机工具和随机配件。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合同签订后40日历日内交货安装验收完毕。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项目验收通过后，供应商出具全额增值税专用发票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（1）产品到货后，供应商负责安装调试，达到正常运行条件后书面通知采购人验收。 （2）安装完成后应提供详细的安装报告，并详细记录各种指示的实测数据。 （3）提供完整的操作手册和安装、调试、维修手册；提供制造厂家的检验测试报告或产品出厂检测报告。 （4）采购人根据合同要求对产品进行验收、确认产品的产地、规格、型号和数量。验收依据为本合同文本、招标文件和国内相应的标准、规范。 （5）验收合格后，填写产品验收单，并向采购人提交产品所包含的所有资料，以便采购人日后管理和维护。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证及售后服务要求：所有软件、硬件设备质保期为2年（自验收合格交付使用开始计算时间）；验收合格后，供应商选派人员到现场培训，培训所需器材、技术资料及相关费用由供应商承担。保修期间维修及零件更换费用、人工及差旅费等费用全部由供应商负担（人为损坏除外）。在保修期内，如设备或零部件因非人为因素出现故障而造成短期停用的，经双方确认后，保修期相应顺延，顺延期限由双方协商确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（1）按《中华人民共和国民法典》中合同部分的相关条款执行。 （2）未按合同要求提供产品或产品质量不能满足技术要求，采购人有权终止合同，并保留追究供应商违约责任的权利。 （3）时间迟延的，违约方按照每天1‰向对方承担违约责任。产品质量问题违约的，除了按照迟延时间计算违约金外，另可以采取退货、换货等方式，由供应商承担一切费用。 （4）供应商不得进行债权转让。 （5）采购文件、投标文件及采购合同作为违约责任和争议的处理依据。</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（2）落实异常低价审查 （2.1）评审中出现下列情形之一的，评标委员会应当启动异常低价投标（响应）审查程序： （2.1.1）投标（响应）报价低于全部通过符合性审查供应商投标（响应）报价平均值50%的，即投标（响应）报价&lt;全部通过符合性审查供应商投标（响应）报价平均值×50%； （2.1.2）投标（响应）报价低于通过符合性审查的次低报价供应商投标（响应）报价50%的，即投标（响应）报价&lt;通过符合性审查的次低报价供应商投标（响应）报价×50%； （2.1.3）投标（响应）报价低于采购项目最高限价45%的，即投标（响应）报价&lt;采购项目最高限价×45%； （2.1.4）评标委员会基于专业判断，认为供应商报价过低，有可能影响产品质量或者不能诚信履约的其他情形。 （2.2）相关法律法规对供应商报价有规定的，从其规定。 （2.3）评标委员会启动异常低价投标（响应）审查后，属于（2.1）中第（2.1.1）项至第（2.1.4）项情形的，应当要求相关供应商在评审现场合理的时间内对投标（响应）价格作出解释，提供项目具体成本测算等与报价合理性相关的书面说明及必要的证明材料，包括但不限于原材料成本、人工成本、制造费用等。其中，属于第（2.1.3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 （3）报价包括产品的供应费及所发生的运输费、杂费（含保险）、商检费、搬运费、安装调试费、培训费等，包括从产品供应地点到交货地点所包含的一切费用，报价不可变更，不受市场价变化的影响，不受实际数量变化的影响。 （4）供应商需要在线提交所有通过电子化交易平台实施的政府采购项目的投标文件，同时，线下提交纸质投标文件贰份；若电子投标文件与纸质投标文件不一致的，以电子投标文件为准；投标文件装订成册密封（在书脊处标明项目名称、供应商名称（机打或手写均可），逐页标注连续页码），在封口处加盖供应商公章；纸质投标文件递交截止时间与线上开评标时间一致；纸质投标文件可邮寄递交，应于递交投标文件截止时间前邮寄到代理机构（地点：西安市高新区丈八一路1号汇鑫中心D座2206陕西德勤招标有限公司）。 （5）如提交保函，建议至少提前一个工作日将保函正本送至采购代理机构，如提供电子保函，应将电子保函发送至代理机构指定邮箱deqinjsl@126.com。 （6）由于本项目需要进行现场功能演示，请各投标人委派功能演示人员于开标截止时间前抵达西安市高新区丈八一路1号汇鑫中心D座2206等候演示，未按时到达的投标人视为自动放弃参与演示环节。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提供递交投标文件截止之日前一年内任意一个月（以所属日期为准）的社会保障资金缴存单据或社保机构开具的社会保险参保缴费情况证明。依法不需要缴纳社会保障资金的投标供应商应提供相关文件证明。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以所属日期为准）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法定代表人授权委托书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近三年无重大违法、违纪书面声明 法定代表人授权委托书 投标函 中小企业声明函 残疾人福利性单位声明函 保证金汇款声明函、保函 非联合体不分包投标声明 控股管理关系 书面声明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保证金汇款声明函、保函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法定代表人授权委托书 分项报价表 中小企业声明函 商务应答表 保证金汇款声明函、保函 控股管理关系 投标人应提交的相关资格证明材料 近三年无重大违法、违纪书面声明 产品技术参数表 残疾人福利性单位声明函 标的清单 非联合体不分包投标声明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技术参数响应清晰明确，符合使用要求，技术指标和性能完全响应招标文件要求，满足使用需求，计20分。“▲”项产品技术参数每有一项负偏离的扣2分，非“▲”项产品技术参数每有一项负偏离的扣1分，满分20分，扣完为止。 注：须提供证明材料，包括但不限于：产品检测报告、产品彩页、产品说明书、官网和功能截图等相关证明材料。参数未提供有效证明文件的其参数评审按负偏离计，证明资料与产品技术参数表数据不一致时，以证明资料为准。参数的技术支持资料需在产品技术参数表中标注页码。</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投标人提供针对本项目的实施方案,包括1、项目总体实施方案；2、供货组织安排；3、进度安排；4、质量保证。 评审标准：方案各部分内容全面详细、阐述条理清晰详尽、符合本项目采购需求，能保障本项目实施得4分；评审内容每缺一项扣1分，评审内容每有一处缺陷未完全响应评审标准的扣0.5分。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的1、安装调试；2、验收方案，评审标准：方案各部分内容全面详细、阐述条理清晰详尽、符合本项目采购需求，能保障本项目实施得4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提供所投产品合法来源渠道证明文件（不限于销售协议、代理协议、原厂授权等），确保生产供应的产品为全新产品,无假货、水货、翻新货且无产权纠纷。提供齐全计2分，提供不全或未提供不计分。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功能演示（线下）</w:t>
            </w:r>
          </w:p>
        </w:tc>
        <w:tc>
          <w:tcPr>
            <w:tcW w:type="dxa" w:w="2492"/>
          </w:tcPr>
          <w:p>
            <w:pPr>
              <w:pStyle w:val="null3"/>
            </w:pPr>
            <w:r>
              <w:rPr>
                <w:rFonts w:ascii="仿宋_GB2312" w:hAnsi="仿宋_GB2312" w:cs="仿宋_GB2312" w:eastAsia="仿宋_GB2312"/>
              </w:rPr>
              <w:t>投标人需按要求提供(两臂凿岩台车、拱架安装台车)的功能演示，演示不限于视频、文档、动画或PPT等方式，演示时间不超过15分钟，由投标人自行准备演示平台及相关设备，开标现场仅提供投影及网络环境(HDMI接口)。投标人按本项目的要求进行演示，请演示人员于开标截止时间前抵达演示地点等候演示，未按时到达的投标人视为自动放弃参与演示环节。演示地点：西安市高新区丈八一路1号汇鑫中心D座2206陕西德勤招标有限公司。 1.两臂凿岩台车展示（产品主要参数、产品技术特点、性能优势、应用案例等）。满分10分，演示一项得1分，未演示或演示的内容不符合采购要求的不得分。 ①配置可变幅臂座，满足大断面及小断面作业； ②配置刚性工程底盘，行驶通过性好； ③配置可升降封闭驾驶室，作业视野好； ④驾驶室配置作业空调，作业环境舒适； ⑤配置双三角液压先导控制钻臂，推进梁具备全方位自平行功能； ⑥配置多功能服务平台及防护顶棚，满足装药等高空辅助作业； ⑦整机模块化设计，操作、维保便捷； ⑧具备施工超前探孔、锚杆孔、小导管、辅助装药等一机多用施工能力； ⑨适应高原（不小于3000m）、高寒等施工工况； ⑩设备经过高原铁路等多个重大工程批量应用，整机性能成熟稳定。 2.拱架安装台车展示（产品主要参数、产品技术特点、性能优势、应用案例等）满分10分，演示一项得1分，未演示或演示的内容不符合采购要求的不得分。 ①配置双向驾驶功能，满足洞内不需掉头的快速转场需求； ②设备同时具备小断面通过性及大断面的作业能力； ③三臂三机械手结构，同时具备焊机、破碎锤，可辅助焊接及欠挖处理等； ④预留信息化接口，便于后期升级，升级后可实现施工日志、设备自动定位、故障报警等功能，并具备实际应用验证； ⑤满足高海拔（不小于3000m）的极端工况应用能力； ⑥满足型钢拱架、格栅拱架等不同类型不同尺寸的拱架类型抓取，最大满足25#工字钢施工； ⑦适应预制多榀拼装、单榀拼装、预制折叠拱架的拼装定位，不少于预制3榀拱架施工能力； ⑧主臂架负载能力不低于3t； ⑨满足双动力模式作业，可不接大电实现发动机模式工作； ⑩设备经过高原铁路等多个重大工程批量应用，整机性能成熟稳定。</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内容包含：1、提供产品的原理和技术性能；2、操作维护方法、排除故障等各个方面，以及培训的具体日期及人数；3、供应商能够提供隧道专用设备操作维保培训，可与学校联合开展办学、人才培养等合作，颁发具有国铁集团认可的国家级培训证书（提供承诺书）。评审标准：方案描述详尽清晰，可行性高，内容完整无缺项漏项，得6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包含1、售后服务体系；2、服务优势；3、服务资源；4、服务流程；5、备品备件供应方案、服务案例及荣誉；6、质量保证措施。评审标准：各部分内容全面详细、阐述条例清晰详尽、符合本项目采购需求，得3分，评审内容每缺一项扣0.5分；评审内容每有一处缺陷未完全响应评审标准的扣0.25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校园文化</w:t>
            </w:r>
          </w:p>
        </w:tc>
        <w:tc>
          <w:tcPr>
            <w:tcW w:type="dxa" w:w="2492"/>
          </w:tcPr>
          <w:p>
            <w:pPr>
              <w:pStyle w:val="null3"/>
            </w:pPr>
            <w:r>
              <w:rPr>
                <w:rFonts w:ascii="仿宋_GB2312" w:hAnsi="仿宋_GB2312" w:cs="仿宋_GB2312" w:eastAsia="仿宋_GB2312"/>
              </w:rPr>
              <w:t>投标人应遵循学校校园文化育人体系，配合学校营造良好的校园育人环境，围绕1、环境育人；2、文化育人；3、活动育人；4、服务育人等各个方面，提供相应的承诺方案。方案描述详尽清晰，契合度、针对性高，内容完整无缺项漏项，得2分，每有一项缺项扣0.5分，每有一处内容存在缺陷扣0.25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项目完成的业绩（以合同签订时间为准），提供完整合同复印件（扫描件）加盖投标人公章，双臂凿岩台车及拱架安装台车业绩，各提供2份计1分，各提供4份计2分，各提供8份计3分，各提供10份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详见附件：保证金汇款声明函、保函</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详见附件：投标方案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