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版本号：HRC-ZBDL-2026-00246.1B120260420001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100MPa气体介质压力传感器自动检定装置研制项目的设备及高价值材料采购(二次)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HRC-ZBDL-2026-00246.1B1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100MPa气体介质压力传感器自动检定装置研制项目的设备及高价值材料采购(二次)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HRC-ZBDL-2026-00246.1B1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100MPa气体介质压力传感器自动检定装置研制项目的设备及高价值材料采购(二次)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100MPa气体介质压力传感器自动检定装置研制项目的设备及高价值材料采购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采购包1（100MPa气体介质压力传感器自动检定装置研制项目的设备及高价值材料采购项目）：属于专门面向中小企业采购。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w:t>
      </w:r>
    </w:p>
    <w:p>
      <w:pPr>
        <w:pStyle w:val="null3"/>
      </w:pPr>
      <w:r>
        <w:rPr>
          <w:rFonts w:ascii="仿宋_GB2312" w:hAnsi="仿宋_GB2312" w:cs="仿宋_GB2312" w:eastAsia="仿宋_GB2312"/>
        </w:rPr>
        <w:t>2、法定代表人（负责人）委托授权书/身份证明：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p>
      <w:pPr>
        <w:pStyle w:val="null3"/>
      </w:pPr>
      <w:r>
        <w:rPr>
          <w:rFonts w:ascii="仿宋_GB2312" w:hAnsi="仿宋_GB2312" w:cs="仿宋_GB2312" w:eastAsia="仿宋_GB2312"/>
        </w:rPr>
        <w:t>3、信用记录：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15209203045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开户银行：平安银行西安分行营业部/平安银行西安分行（行号：307791041016）</w:t>
            </w:r>
          </w:p>
          <w:p>
            <w:pPr>
              <w:pStyle w:val="null3"/>
            </w:pPr>
            <w:r>
              <w:rPr>
                <w:rFonts w:ascii="仿宋_GB2312" w:hAnsi="仿宋_GB2312" w:cs="仿宋_GB2312" w:eastAsia="仿宋_GB2312"/>
              </w:rPr>
              <w:t>银行账号：30205868006943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依据《国家计委关于印发&lt;招标代理服务收费管理暂行办法&gt;的通知》(计价格〔2002〕1980号)、（发改办价格〔2003〕857号）以及《国家发展改革委关于降低部分建设项目收费标准规范收费行为等有关问题的通知》(发改价格〔2011〕534号)，向华睿诚项目管理有限公司交纳招标服务费，代理费不足7000元时按7000元收取。 缴纳方式：银行转账；户名：华睿诚项目管理有限公司； 开户银行：西安银行小寨东路支行；账号：816011580000101224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联系人：何幸</w:t>
      </w:r>
    </w:p>
    <w:p>
      <w:pPr>
        <w:pStyle w:val="null3"/>
      </w:pPr>
      <w:r>
        <w:rPr>
          <w:rFonts w:ascii="仿宋_GB2312" w:hAnsi="仿宋_GB2312" w:cs="仿宋_GB2312" w:eastAsia="仿宋_GB2312"/>
        </w:rPr>
        <w:t>联系电话：15209203045</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陕西省市场监督管理系统科技研发项目“基于机器视觉的非接触数字式转速表自动检定系统开发”,按照项目任务书中的研究内容需采购高精度转速标准装置一台套。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452,000.00</w:t>
      </w:r>
    </w:p>
    <w:p>
      <w:pPr>
        <w:pStyle w:val="null3"/>
      </w:pPr>
      <w:r>
        <w:rPr>
          <w:rFonts w:ascii="仿宋_GB2312" w:hAnsi="仿宋_GB2312" w:cs="仿宋_GB2312" w:eastAsia="仿宋_GB2312"/>
        </w:rPr>
        <w:t>采购包最高限价（元）: 452,000.00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压力控制器主机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100MPa精密压力控制模块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35MPa压力测试模块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100MPa压力测试模块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标的名称：压力控制器主机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一、压力控制器主机</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1. 最高可适配不低于100MPa压力控制模块实现压力控制输出；★</w:t>
            </w:r>
          </w:p>
          <w:p>
            <w:pPr>
              <w:pStyle w:val="null3"/>
              <w:jc w:val="both"/>
            </w:pPr>
            <w:r>
              <w:rPr>
                <w:rFonts w:ascii="仿宋_GB2312" w:hAnsi="仿宋_GB2312" w:cs="仿宋_GB2312" w:eastAsia="仿宋_GB2312"/>
              </w:rPr>
              <w:t>2. 控制精度优于</w:t>
            </w:r>
            <w:r>
              <w:rPr>
                <w:rFonts w:ascii="仿宋_GB2312" w:hAnsi="仿宋_GB2312" w:cs="仿宋_GB2312" w:eastAsia="仿宋_GB2312"/>
              </w:rPr>
              <w:t>当前适配模块量程的</w:t>
            </w:r>
            <w:r>
              <w:rPr>
                <w:rFonts w:ascii="仿宋_GB2312" w:hAnsi="仿宋_GB2312" w:cs="仿宋_GB2312" w:eastAsia="仿宋_GB2312"/>
              </w:rPr>
              <w:t>0.005%。</w:t>
            </w:r>
          </w:p>
          <w:p>
            <w:pPr>
              <w:pStyle w:val="null3"/>
              <w:jc w:val="both"/>
            </w:pPr>
            <w:r>
              <w:rPr>
                <w:rFonts w:ascii="仿宋_GB2312" w:hAnsi="仿宋_GB2312" w:cs="仿宋_GB2312" w:eastAsia="仿宋_GB2312"/>
              </w:rPr>
              <w:t>3. 可适配高精度压力模块实现压力测量，扩展数量不少于2个；最大可适配不低于100MPa压力模块，最小可适配不高于7 MPa压力模块；</w:t>
            </w:r>
          </w:p>
          <w:p>
            <w:pPr>
              <w:pStyle w:val="null3"/>
              <w:jc w:val="both"/>
            </w:pPr>
            <w:r>
              <w:rPr>
                <w:rFonts w:ascii="仿宋_GB2312" w:hAnsi="仿宋_GB2312" w:cs="仿宋_GB2312" w:eastAsia="仿宋_GB2312"/>
              </w:rPr>
              <w:t>4. 工作介质：清洁氮气或压缩空气；</w:t>
            </w:r>
          </w:p>
          <w:p>
            <w:pPr>
              <w:pStyle w:val="null3"/>
              <w:jc w:val="both"/>
            </w:pPr>
            <w:r>
              <w:rPr>
                <w:rFonts w:ascii="仿宋_GB2312" w:hAnsi="仿宋_GB2312" w:cs="仿宋_GB2312" w:eastAsia="仿宋_GB2312"/>
              </w:rPr>
              <w:t>5. 支持远程通信RS-232、GPIB、USB接口；</w:t>
            </w:r>
          </w:p>
          <w:p>
            <w:pPr>
              <w:pStyle w:val="null3"/>
              <w:jc w:val="both"/>
            </w:pPr>
            <w:r>
              <w:rPr>
                <w:rFonts w:ascii="仿宋_GB2312" w:hAnsi="仿宋_GB2312" w:cs="仿宋_GB2312" w:eastAsia="仿宋_GB2312"/>
              </w:rPr>
              <w:t>6. 触屏交互可实现压力设定、显示和压力调校。</w:t>
            </w:r>
          </w:p>
          <w:p>
            <w:pPr>
              <w:pStyle w:val="null3"/>
            </w:pPr>
            <w:r>
              <w:rPr>
                <w:rFonts w:ascii="仿宋_GB2312" w:hAnsi="仿宋_GB2312" w:cs="仿宋_GB2312" w:eastAsia="仿宋_GB2312"/>
              </w:rPr>
              <w:t>7. 质保1年，质保期内免费提供针对此设备的无偿人员培训、技术咨询、维修更新服务；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压力控制器主机为核心产品。</w:t>
            </w:r>
          </w:p>
        </w:tc>
      </w:tr>
    </w:tbl>
    <w:p>
      <w:pPr>
        <w:pStyle w:val="null3"/>
      </w:pPr>
      <w:r>
        <w:rPr>
          <w:rFonts w:ascii="仿宋_GB2312" w:hAnsi="仿宋_GB2312" w:cs="仿宋_GB2312" w:eastAsia="仿宋_GB2312"/>
        </w:rPr>
        <w:t>标的名称：100MPa精密压力控制模块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二、</w:t>
            </w:r>
            <w:r>
              <w:rPr>
                <w:rFonts w:ascii="仿宋_GB2312" w:hAnsi="仿宋_GB2312" w:cs="仿宋_GB2312" w:eastAsia="仿宋_GB2312"/>
              </w:rPr>
              <w:t>精密压力控制模块</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1. 可适配压力控制器主机(设备一），实现压力控制；</w:t>
            </w:r>
          </w:p>
          <w:p>
            <w:pPr>
              <w:pStyle w:val="null3"/>
              <w:jc w:val="both"/>
            </w:pPr>
            <w:r>
              <w:rPr>
                <w:rFonts w:ascii="仿宋_GB2312" w:hAnsi="仿宋_GB2312" w:cs="仿宋_GB2312" w:eastAsia="仿宋_GB2312"/>
              </w:rPr>
              <w:t>2. 最高压力控制上限不低于100MPa；</w:t>
            </w:r>
          </w:p>
          <w:p>
            <w:pPr>
              <w:pStyle w:val="null3"/>
              <w:jc w:val="both"/>
            </w:pPr>
            <w:r>
              <w:rPr>
                <w:rFonts w:ascii="仿宋_GB2312" w:hAnsi="仿宋_GB2312" w:cs="仿宋_GB2312" w:eastAsia="仿宋_GB2312"/>
              </w:rPr>
              <w:t>3. 控制精度：0.005%FS；</w:t>
            </w:r>
          </w:p>
          <w:p>
            <w:pPr>
              <w:pStyle w:val="null3"/>
              <w:jc w:val="both"/>
            </w:pPr>
            <w:r>
              <w:rPr>
                <w:rFonts w:ascii="仿宋_GB2312" w:hAnsi="仿宋_GB2312" w:cs="仿宋_GB2312" w:eastAsia="仿宋_GB2312"/>
              </w:rPr>
              <w:t>4. 控制过冲不超过0.08%FS（100MPa）</w:t>
            </w:r>
          </w:p>
          <w:p>
            <w:pPr>
              <w:pStyle w:val="null3"/>
              <w:jc w:val="both"/>
            </w:pPr>
            <w:r>
              <w:rPr>
                <w:rFonts w:ascii="仿宋_GB2312" w:hAnsi="仿宋_GB2312" w:cs="仿宋_GB2312" w:eastAsia="仿宋_GB2312"/>
              </w:rPr>
              <w:t>5. 工作介质：清洁氮气或压缩空气；</w:t>
            </w:r>
          </w:p>
          <w:p>
            <w:pPr>
              <w:pStyle w:val="null3"/>
            </w:pPr>
            <w:r>
              <w:rPr>
                <w:rFonts w:ascii="仿宋_GB2312" w:hAnsi="仿宋_GB2312" w:cs="仿宋_GB2312" w:eastAsia="仿宋_GB2312"/>
              </w:rPr>
              <w:t>6. 质保1年。</w:t>
            </w:r>
          </w:p>
        </w:tc>
      </w:tr>
    </w:tbl>
    <w:p>
      <w:pPr>
        <w:pStyle w:val="null3"/>
      </w:pPr>
      <w:r>
        <w:rPr>
          <w:rFonts w:ascii="仿宋_GB2312" w:hAnsi="仿宋_GB2312" w:cs="仿宋_GB2312" w:eastAsia="仿宋_GB2312"/>
        </w:rPr>
        <w:t>标的名称：35MPa压力测试模块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三、压力测量模块</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1. 可适配压力控制器主机(设备一）；</w:t>
            </w:r>
          </w:p>
          <w:p>
            <w:pPr>
              <w:pStyle w:val="null3"/>
              <w:jc w:val="both"/>
            </w:pPr>
            <w:r>
              <w:rPr>
                <w:rFonts w:ascii="仿宋_GB2312" w:hAnsi="仿宋_GB2312" w:cs="仿宋_GB2312" w:eastAsia="仿宋_GB2312"/>
              </w:rPr>
              <w:t>2. 测量范围（0～35） MPa</w:t>
            </w:r>
          </w:p>
          <w:p>
            <w:pPr>
              <w:pStyle w:val="null3"/>
              <w:jc w:val="both"/>
            </w:pPr>
            <w:r>
              <w:rPr>
                <w:rFonts w:ascii="仿宋_GB2312" w:hAnsi="仿宋_GB2312" w:cs="仿宋_GB2312" w:eastAsia="仿宋_GB2312"/>
              </w:rPr>
              <w:t>3</w:t>
            </w:r>
            <w:r>
              <w:rPr>
                <w:rFonts w:ascii="仿宋_GB2312" w:hAnsi="仿宋_GB2312" w:cs="仿宋_GB2312" w:eastAsia="仿宋_GB2312"/>
              </w:rPr>
              <w:t>. 准确度等级：0.02级。</w:t>
            </w:r>
          </w:p>
          <w:p>
            <w:pPr>
              <w:pStyle w:val="null3"/>
            </w:pPr>
            <w:r>
              <w:rPr>
                <w:rFonts w:ascii="仿宋_GB2312" w:hAnsi="仿宋_GB2312" w:cs="仿宋_GB2312" w:eastAsia="仿宋_GB2312"/>
              </w:rPr>
              <w:t>4. 供货验收时出具省级或以上法定机构检定证书（投标阶段提供承诺），结论符合0.02级；</w:t>
            </w:r>
          </w:p>
          <w:p>
            <w:pPr>
              <w:pStyle w:val="null3"/>
            </w:pPr>
            <w:r>
              <w:rPr>
                <w:rFonts w:ascii="仿宋_GB2312" w:hAnsi="仿宋_GB2312" w:cs="仿宋_GB2312" w:eastAsia="仿宋_GB2312"/>
              </w:rPr>
              <w:t>5. 质保1年。</w:t>
            </w:r>
          </w:p>
        </w:tc>
      </w:tr>
    </w:tbl>
    <w:p>
      <w:pPr>
        <w:pStyle w:val="null3"/>
      </w:pPr>
      <w:r>
        <w:rPr>
          <w:rFonts w:ascii="仿宋_GB2312" w:hAnsi="仿宋_GB2312" w:cs="仿宋_GB2312" w:eastAsia="仿宋_GB2312"/>
        </w:rPr>
        <w:t>标的名称：100MPa压力测试模块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四、压力测量模块</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1. 可适配压力控制器主机(设备一）；</w:t>
            </w:r>
          </w:p>
          <w:p>
            <w:pPr>
              <w:pStyle w:val="null3"/>
              <w:jc w:val="both"/>
            </w:pPr>
            <w:r>
              <w:rPr>
                <w:rFonts w:ascii="仿宋_GB2312" w:hAnsi="仿宋_GB2312" w:cs="仿宋_GB2312" w:eastAsia="仿宋_GB2312"/>
              </w:rPr>
              <w:t>2. 测量范围（0～100） MPa；</w:t>
            </w:r>
          </w:p>
          <w:p>
            <w:pPr>
              <w:pStyle w:val="null3"/>
              <w:jc w:val="both"/>
            </w:pPr>
            <w:r>
              <w:rPr>
                <w:rFonts w:ascii="仿宋_GB2312" w:hAnsi="仿宋_GB2312" w:cs="仿宋_GB2312" w:eastAsia="仿宋_GB2312"/>
              </w:rPr>
              <w:t>3. 准确度等级：0.02级或允差满足0.015%FS+0.02%Rdg ；</w:t>
            </w:r>
          </w:p>
          <w:p>
            <w:pPr>
              <w:pStyle w:val="null3"/>
              <w:jc w:val="both"/>
            </w:pPr>
            <w:r>
              <w:rPr>
                <w:rFonts w:ascii="仿宋_GB2312" w:hAnsi="仿宋_GB2312" w:cs="仿宋_GB2312" w:eastAsia="仿宋_GB2312"/>
              </w:rPr>
              <w:t>4. 供货验收时出具省级或以上法定机构检定证书（投标阶段提供承诺），结论符合0.02级。</w:t>
            </w:r>
          </w:p>
          <w:p>
            <w:pPr>
              <w:pStyle w:val="null3"/>
            </w:pPr>
            <w:r>
              <w:rPr>
                <w:rFonts w:ascii="仿宋_GB2312" w:hAnsi="仿宋_GB2312" w:cs="仿宋_GB2312" w:eastAsia="仿宋_GB2312"/>
              </w:rPr>
              <w:t>5. 质保1年。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合同签订后预付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所有设备到货、安装、调试、培训完成后，经甲方相关部门技术验收合格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中标人在领取中标通知书时，需提供纸质响应文件叁份、电子版（U盘）壹份（内容与平台上传的签章版电子文件保持一致），纸质响应文件建议A4纸双面黑白打印，各自装订成册，封面加盖红章及骑缝章，书脊处写明项目名称及项目编号。 2、各投标单位在平台上传投标文件时，同步上传电子保函原件（PDF 格式，确保清晰可辨）或银行转账截图（转账时间、金额、收款账户等关键信息清晰），提交的电子保函或缴费凭证需真实有效，招标代理机构将对平台上的电子保函或转账截图的缴费凭证进行核验，未按本通知要求提交或提交材料不完整、不清晰导致无法核验的，后果由投标单位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经审计完整的财务报告（包括审计报告、资产负债表、利润表、现金流量表、所有者权益变动表及其附注等相关资料），②可提供截至投标文件提交截止日一年内基本开户银行出具的资信证明（附开户许可证或基本账户存款信息），③供应商注册时间截至投标文件提交截止日不足一年的，可提供成立后任意时段的资产负债表；事业单位提供财务报表，财务报表应当包括：资产负债表、收入支出表或者收入费用表、财政补助收入支出表；（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基本资格条件承诺函》声明，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开标一览表 报价一览表及分项报价表 中小企业声明函 业绩 商务应答表 产品及备品备件货源渠道 投标人应提交的相关资格证明材料 设备供货、运输、仓储、验收方案 产品技术参数表 投标函 残疾人福利性单位声明函 维保方案 标的清单 投标文件封面 监狱企业的证明文件 培训服务方案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投标产品的技术参数、配置和功能需求评审依据为生产厂家出具的、或相应的功能证明材料（包括但不限于测试报告、彩页、官网和功能截图等）及投标产品技术参数偏离表完全响应招标文件要求，满足采购需求、技术参数没有负偏离，计基本分22分；非标“★”的参数参数中每有一大项技术指标负偏离扣1分，扣完为止。 （注：标“★”的参数需求为实质性要求，供应商必须响应并满足的参数需求，若不符合则做无效投标处理；供应商必须如实地对采购文件采购需求中各条款作出明确的逐项响应，并对其真实性负责。）</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设备供货、运输、仓储、验收方案</w:t>
            </w:r>
          </w:p>
        </w:tc>
        <w:tc>
          <w:tcPr>
            <w:tcW w:type="dxa" w:w="2492"/>
          </w:tcPr>
          <w:p>
            <w:pPr>
              <w:pStyle w:val="null3"/>
            </w:pPr>
            <w:r>
              <w:rPr>
                <w:rFonts w:ascii="仿宋_GB2312" w:hAnsi="仿宋_GB2312" w:cs="仿宋_GB2312" w:eastAsia="仿宋_GB2312"/>
              </w:rPr>
              <w:t>供应商需提供针对本项目的设备供货、运输、仓储、验收方案，包含①设备供货方案②供货组织安排（含仓储、运输、派送措施等，确保按期交货）③设备运输方案④设备仓储方案；⑤设备验收方案，按以下标准计分： 方案各部分内容全面详细、阐述条理清晰详尽、符合本项目采购需求，能保障项目实施的得10 分；方案每缺一项核心内容扣 2分；方案内容存在缺陷（指内容不合理、不完善、表述前后不一致、套用其他项目方案或与项目需求不匹配等不利于项目实施的情形），每项缺陷扣 0.5 分，最低得0分。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设备供货、运输、仓储、验收方案</w:t>
            </w:r>
          </w:p>
        </w:tc>
      </w:tr>
      <w:tr>
        <w:tc>
          <w:tcPr>
            <w:tcW w:type="dxa" w:w="831"/>
            <w:vMerge/>
          </w:tcPr>
          <w:p/>
        </w:tc>
        <w:tc>
          <w:tcPr>
            <w:tcW w:type="dxa" w:w="1661"/>
          </w:tcPr>
          <w:p>
            <w:pPr>
              <w:pStyle w:val="null3"/>
            </w:pPr>
            <w:r>
              <w:rPr>
                <w:rFonts w:ascii="仿宋_GB2312" w:hAnsi="仿宋_GB2312" w:cs="仿宋_GB2312" w:eastAsia="仿宋_GB2312"/>
              </w:rPr>
              <w:t>产品及备品备件货源渠道</w:t>
            </w:r>
          </w:p>
        </w:tc>
        <w:tc>
          <w:tcPr>
            <w:tcW w:type="dxa" w:w="2492"/>
          </w:tcPr>
          <w:p>
            <w:pPr>
              <w:pStyle w:val="null3"/>
            </w:pPr>
            <w:r>
              <w:rPr>
                <w:rFonts w:ascii="仿宋_GB2312" w:hAnsi="仿宋_GB2312" w:cs="仿宋_GB2312" w:eastAsia="仿宋_GB2312"/>
              </w:rPr>
              <w:t>产品及备品备件货源渠道正常，供应充足，产地及制造商明确，产品销售记录可追溯。 ①产品货源渠道清晰可追溯，提供原厂完整授权文件（如制造商授权书、区域代理授权书等）及货源证明材料；技术资料齐全完整；备品备件供应渠道稳定，核心配件与常规配件均保障充足，明确承诺供货周期，提供备品备件清单，证明材料充分，得8分； ②产品货源渠道清晰，提供原厂授权文件及货源证明材料；技术资料基本齐全，仅缺少少量非关键附件说明；备品备件供应渠道稳定，核心配件与常规配件供应充足，核心配件供货周期合理，提供主要备品备件清单，证明材料较充分，得6分； ③产品货源渠道明确，提供产品授权文件，但货源记录不够详细；技术资料基本齐全；备品备件供应可满足设备常规运行需求，提供基础备品备件清单，证明材料基本能支撑响应内容，得4分；④产品货源渠道基本明确，货源记录不完整；产品授权文件不完整；技术资料不齐全；备品备件供应仅能满足基础故障需求，证明材料较少，得2分； ⑤产品货源渠道表述模糊，无法提供有效货源证明；产品授权文件缺失关键要素（如无授权主体、授权期限不明确）或未提供；技术资料严重缺失（仅提供产品名称、型号等基础信息）；无法明确备品备件供应能力，未提供备品备件清单，仅提供极少量无效证明，得1分。 ⑥未提供任何与产品货源渠道、产品授权、技术资料、备品备件供应相关的证明材料，或提供的材料完全无效，得0分。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产品及备品备件货源渠道</w:t>
            </w:r>
          </w:p>
        </w:tc>
      </w:tr>
      <w:tr>
        <w:tc>
          <w:tcPr>
            <w:tcW w:type="dxa" w:w="831"/>
            <w:vMerge/>
          </w:tcPr>
          <w:p/>
        </w:tc>
        <w:tc>
          <w:tcPr>
            <w:tcW w:type="dxa" w:w="1661"/>
          </w:tcPr>
          <w:p>
            <w:pPr>
              <w:pStyle w:val="null3"/>
            </w:pPr>
            <w:r>
              <w:rPr>
                <w:rFonts w:ascii="仿宋_GB2312" w:hAnsi="仿宋_GB2312" w:cs="仿宋_GB2312" w:eastAsia="仿宋_GB2312"/>
              </w:rPr>
              <w:t>质量性能提升</w:t>
            </w:r>
          </w:p>
        </w:tc>
        <w:tc>
          <w:tcPr>
            <w:tcW w:type="dxa" w:w="2492"/>
          </w:tcPr>
          <w:p>
            <w:pPr>
              <w:pStyle w:val="null3"/>
            </w:pPr>
            <w:r>
              <w:rPr>
                <w:rFonts w:ascii="仿宋_GB2312" w:hAnsi="仿宋_GB2312" w:cs="仿宋_GB2312" w:eastAsia="仿宋_GB2312"/>
              </w:rPr>
              <w:t>技术指标、参数优于招标文件规定的相应技术指标、参数，并且有实质性能提升的，经评标委员会一致认可的可进行相应加分，每项加2分，最多加6分。 评审依据为生产厂家出具的、或相应的功能证明材料（包括但不限于测试报告、彩页、官网和功能截图等）及投标产品技术参数偏离表等证明资料。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制定完善、具体、可行的服务维保方案（包含日常、月度、年度维保方案），需体现服务方案可行性、完整性及服务承诺落实保障措施，明确质保期内外后续技术支持和维护能力，按以下标准计分： ①售后服务方案全面、具体、合理性强，得10分； ②售后服务方案相对全面、具体，合理性相对较强，得8分； ③售后服务方案基本全面、具体，有一定的合理性，得6分； ④售后服务方案不够全面具体，合理性相对较弱，得4分； ⑤售后服务方案不全面具体，合理性较差，得2分； ⑥未提供方案得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质保期在满足招标文件规定的基础上每增加1年加1分,最多得3分。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报价一览表及分项报价表</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供应商制定完善可行、有针对性的培训服务方案，能够保障使用单位熟练操作维护和正常使用设备，按以下标准计分： ①培训方案全面、具体、合理性强，得6分； ②培训方案相对全面、具体，合理性相对较强，得5分； ③培训方案基本全面、具体，有一定的合理性，得4分； ④培训方案不够全面具体，合理性相对较弱，得 2 分； ⑤培训方案不全面具体，合理性较差，得 1 分； ⑥未提供方案得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提供投标人2023年1月01日至今所投类似产品业绩（仅限投标人本身）（提供合同复印件加盖公章），每份计1分，满分5分。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详见附件：设备供货、运输、仓储、验收方案</w:t>
      </w:r>
    </w:p>
    <w:p>
      <w:pPr>
        <w:pStyle w:val="null3"/>
        <w:ind w:firstLine="960"/>
      </w:pPr>
      <w:r>
        <w:rPr>
          <w:rFonts w:ascii="仿宋_GB2312" w:hAnsi="仿宋_GB2312" w:cs="仿宋_GB2312" w:eastAsia="仿宋_GB2312"/>
        </w:rPr>
        <w:t>详见附件：产品及备品备件货源渠道</w:t>
      </w:r>
    </w:p>
    <w:p>
      <w:pPr>
        <w:pStyle w:val="null3"/>
        <w:ind w:firstLine="960"/>
      </w:pPr>
      <w:r>
        <w:rPr>
          <w:rFonts w:ascii="仿宋_GB2312" w:hAnsi="仿宋_GB2312" w:cs="仿宋_GB2312" w:eastAsia="仿宋_GB2312"/>
        </w:rPr>
        <w:t>详见附件：维保方案</w:t>
      </w:r>
    </w:p>
    <w:p>
      <w:pPr>
        <w:pStyle w:val="null3"/>
        <w:ind w:firstLine="960"/>
      </w:pPr>
      <w:r>
        <w:rPr>
          <w:rFonts w:ascii="仿宋_GB2312" w:hAnsi="仿宋_GB2312" w:cs="仿宋_GB2312" w:eastAsia="仿宋_GB2312"/>
        </w:rPr>
        <w:t>详见附件：培训服务方案</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详见附件：科研设备合同模板.docx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