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64175">
      <w:r>
        <w:rPr>
          <w:rFonts w:ascii="仿宋_GB2312" w:hAnsi="仿宋_GB2312" w:eastAsia="仿宋_GB2312" w:cs="仿宋_GB2312"/>
        </w:rPr>
        <w:t>供应商制定完善可行、有针对性的培训服务方案，能够保障使用单位熟练操作维护和正常使用设备，按以下标准计分： ①培训方案全面、具体、合理性强，得6分； ②培训方案相对全面、具体，合理性相对较强，得5分； ③培训方案基本全面、具体，有一定的合理性，得4分； ④培训方案不够全面具体，合理性相对较弱，得 2 分； ⑤培训方案不全面具体，合理性较差，得 1 分； ⑥未提供方案得 0 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75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2026-03-10T10:08:19Z</dcterms:created>
  <dc:creator>Administrator</dc:creator>
  <cp:lastModifiedBy>飞翔</cp:lastModifiedBy>
  <dcterms:modified xsi:type="dcterms:W3CDTF">2026-03-10T10:08:26Z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A052A05BAF6F4624AB4723C542D1D641_12</vt:lpwstr>
  </property>
</Properties>
</file>