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F5B12">
      <w:r>
        <w:rPr>
          <w:rFonts w:ascii="仿宋_GB2312" w:hAnsi="仿宋_GB2312" w:eastAsia="仿宋_GB2312" w:cs="仿宋_GB2312"/>
        </w:rPr>
        <w:t>供应商需提供针对本项目的设备供货、运输、仓储、验收方案，包含①设备供货方案②供货组织安排（含仓储、运输、派送措施等，确保按期交货）③设备运输方案④设备仓储方案；⑤设备验收方案，按以下标准计分： 方案各部分内容全面详细、阐述条理清晰详尽、符合本项目采购需求，能保障项目实施的得10 分；方案每缺一项核心内容扣 2分；方案内容存在缺陷（指内容不合理、不完善、表述前后不一致、套用其他项目方案或与项目需求不匹配等不利于项目实施的情形），每项缺陷扣 0.5 分，最低得0分。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6C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2026-03-10T10:04:44Z</dcterms:created>
  <dc:creator>Administrator</dc:creator>
  <cp:lastModifiedBy>飞翔</cp:lastModifiedBy>
  <dcterms:modified xsi:type="dcterms:W3CDTF">2026-03-10T10:05:08Z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36334E4BCA804F32BA1D59E42AAC704C_12</vt:lpwstr>
  </property>
</Properties>
</file>