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版本号：ZMZB2026SXCJ-9420260421001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2026年纸质图书采购项目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ZMZB2026SXCJ-94</w:t>
      </w:r>
      <w:r>
        <w:br/>
      </w:r>
      <w:r>
        <w:br/>
      </w:r>
      <w:r>
        <w:br/>
      </w:r>
    </w:p>
    <w:p>
      <w:pPr>
        <w:pStyle w:val="null3"/>
        <w:jc w:val="center"/>
        <w:outlineLvl w:val="2"/>
      </w:pPr>
      <w:r>
        <w:rPr>
          <w:rFonts w:ascii="仿宋_GB2312" w:hAnsi="仿宋_GB2312" w:cs="仿宋_GB2312" w:eastAsia="仿宋_GB2312"/>
          <w:sz w:val="28"/>
          <w:b/>
        </w:rPr>
        <w:t>陕西财经职业技术学院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陕西财经职业技术学院</w:t>
      </w:r>
      <w:r>
        <w:rPr>
          <w:rFonts w:ascii="仿宋_GB2312" w:hAnsi="仿宋_GB2312" w:cs="仿宋_GB2312" w:eastAsia="仿宋_GB2312"/>
        </w:rPr>
        <w:t>委托，拟对</w:t>
      </w:r>
      <w:r>
        <w:rPr>
          <w:rFonts w:ascii="仿宋_GB2312" w:hAnsi="仿宋_GB2312" w:cs="仿宋_GB2312" w:eastAsia="仿宋_GB2312"/>
        </w:rPr>
        <w:t>2026年纸质图书采购项目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ZMZB2026SXCJ-94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2026年纸质图书采购项目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2026年纸质图书采购项目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p>
      <w:pPr>
        <w:pStyle w:val="null3"/>
      </w:pPr>
      <w:r>
        <w:rPr>
          <w:rFonts w:ascii="仿宋_GB2312" w:hAnsi="仿宋_GB2312" w:cs="仿宋_GB2312" w:eastAsia="仿宋_GB2312"/>
        </w:rPr>
        <w:t>3、具有履行合同所必需的设备和专业技术能力：具有履行合同所必需的设备和专业技术能力</w:t>
      </w:r>
    </w:p>
    <w:p>
      <w:pPr>
        <w:pStyle w:val="null3"/>
      </w:pPr>
      <w:r>
        <w:rPr>
          <w:rFonts w:ascii="仿宋_GB2312" w:hAnsi="仿宋_GB2312" w:cs="仿宋_GB2312" w:eastAsia="仿宋_GB2312"/>
        </w:rPr>
        <w:t>4、税收缴纳证明：提供2025年1月(含1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5、社会保障资金缴纳证明：提供2025年1月(含1月）以来任意一个月的社会保障资金缴存单据或社保机构开具的社会保险参保缴费情况证明。依法不需要缴纳社会保障资金的供应商应提供相关文件证明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7、法定代表人委托授权书：非法定代表人参加投标的，须提供法定代表人委托授权书，法定代表人参加投标时,只须提供法定代表人证明书</w:t>
      </w:r>
    </w:p>
    <w:p>
      <w:pPr>
        <w:pStyle w:val="null3"/>
      </w:pPr>
      <w:r>
        <w:rPr>
          <w:rFonts w:ascii="仿宋_GB2312" w:hAnsi="仿宋_GB2312" w:cs="仿宋_GB2312" w:eastAsia="仿宋_GB2312"/>
        </w:rPr>
        <w:t>8、出版物经营许可证：供应商提供合法有效的出版物经营许可证</w:t>
      </w:r>
    </w:p>
    <w:p>
      <w:pPr>
        <w:pStyle w:val="null3"/>
      </w:pPr>
      <w:r>
        <w:rPr>
          <w:rFonts w:ascii="仿宋_GB2312" w:hAnsi="仿宋_GB2312" w:cs="仿宋_GB2312" w:eastAsia="仿宋_GB2312"/>
        </w:rPr>
        <w:t>9、本项目不接受联合体投标：非联合体投标声明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陕西财经职业技术学院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咸阳市秦都区文林路1号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原老师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029-33732421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西安市雁塔区科技路30号合力紫郡大厦B座21层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米文佳 侯倩雨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文件等法律法规规定的计价标准收取（含税），按照中标金额差额定率累进法计算，由中标/成交单位给招标代理公司。供应商将招标代理服务费计入响应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陕西财经职业技术学院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陕西财经职业技术学院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陕西财经职业技术学院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按照国家标准、招标文件、投标文件和合同要求执行。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联系人：魏萌</w:t>
      </w:r>
    </w:p>
    <w:p>
      <w:pPr>
        <w:pStyle w:val="null3"/>
      </w:pPr>
      <w:r>
        <w:rPr>
          <w:rFonts w:ascii="仿宋_GB2312" w:hAnsi="仿宋_GB2312" w:cs="仿宋_GB2312" w:eastAsia="仿宋_GB2312"/>
        </w:rPr>
        <w:t>联系电话：029-81875979</w:t>
      </w:r>
    </w:p>
    <w:p>
      <w:pPr>
        <w:pStyle w:val="null3"/>
      </w:pPr>
      <w:r>
        <w:rPr>
          <w:rFonts w:ascii="仿宋_GB2312" w:hAnsi="仿宋_GB2312" w:cs="仿宋_GB2312" w:eastAsia="仿宋_GB2312"/>
        </w:rPr>
        <w:t>地址：西安市雁塔区科技路30号合力紫郡大厦B座21层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92万元图书（实洋），约66000册，以人文社科类图书为主，围绕提升学校专业体系建设、人才培养方案、科研需求、学生成长成才和综合素质等，核心类别为经贸、文学、管理、金融、学前教育、美育、建筑、计算机技术、AI技术、应急管理、党建、食品加工、非遗、影视制作、康养、就业指导、劳动教育等。B9和H2类图书不在购买范围。</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920,000.00</w:t>
      </w:r>
    </w:p>
    <w:p>
      <w:pPr>
        <w:pStyle w:val="null3"/>
      </w:pPr>
      <w:r>
        <w:rPr>
          <w:rFonts w:ascii="仿宋_GB2312" w:hAnsi="仿宋_GB2312" w:cs="仿宋_GB2312" w:eastAsia="仿宋_GB2312"/>
        </w:rPr>
        <w:t>采购包最高限价（元）: 920,000.00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图书</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（一）内容：采购</w:t>
            </w:r>
            <w:r>
              <w:rPr>
                <w:rFonts w:ascii="仿宋_GB2312" w:hAnsi="仿宋_GB2312" w:cs="仿宋_GB2312" w:eastAsia="仿宋_GB2312"/>
              </w:rPr>
              <w:t>92万元图书（实洋），约66000册，以人文社科类图书为主，围绕提升学校专业体系建设、人才培养方案、科研需求、学生成长成才和综合素质等，核心类别为经贸、文学、管理、金融、学前教育、美育、建筑、计算机技术、AI技术、应急管理、党建、食品加工、非遗、影视制作、康养、就业指导、劳动教育等。B9和H2类图书不在购买范围。</w:t>
            </w:r>
          </w:p>
          <w:p>
            <w:pPr>
              <w:pStyle w:val="null3"/>
              <w:jc w:val="both"/>
            </w:pPr>
            <w:r>
              <w:rPr>
                <w:rFonts w:ascii="仿宋_GB2312" w:hAnsi="仿宋_GB2312" w:cs="仿宋_GB2312" w:eastAsia="仿宋_GB2312"/>
              </w:rPr>
              <w:t>（二）质量：出版年限以</w:t>
            </w:r>
            <w:r>
              <w:rPr>
                <w:rFonts w:ascii="仿宋_GB2312" w:hAnsi="仿宋_GB2312" w:cs="仿宋_GB2312" w:eastAsia="仿宋_GB2312"/>
              </w:rPr>
              <w:t>2020年以后为主，思想内容健康，不违反国家意识形态方面的有关要求。所有图书的版权页和条形码标志必须完整清晰。版权页包括图书在版编目(CIP)数据、出版单位名称及地址、图书开本、版次等相关资料。对于出现开胶、散页、倒装、缺页、污损等有质量问题的图书，无论加工与否，中标商须无条件完成退换。提供质保期三年，质量保证期内采购方发现图书有排版错误、缺页等非人为损坏现象，供应商须无条件免费更换新书。中标商应随书提供图书总清单纸质版两份，并加盖公章。</w:t>
            </w:r>
          </w:p>
          <w:p>
            <w:pPr>
              <w:pStyle w:val="null3"/>
            </w:pPr>
            <w:r>
              <w:rPr>
                <w:rFonts w:ascii="仿宋_GB2312" w:hAnsi="仿宋_GB2312" w:cs="仿宋_GB2312" w:eastAsia="仿宋_GB2312"/>
                <w:sz w:val="21"/>
              </w:rPr>
              <w:t>（三）加工要求：在每本书指定位置加盖馆藏章</w:t>
            </w:r>
            <w:r>
              <w:rPr>
                <w:rFonts w:ascii="仿宋_GB2312" w:hAnsi="仿宋_GB2312" w:cs="仿宋_GB2312" w:eastAsia="仿宋_GB2312"/>
                <w:sz w:val="21"/>
              </w:rPr>
              <w:t>2处，粘贴条形码2个，盖章和条形码要端正、清晰，不干胶复合性磁条1根，夹贴磁条应无痕迹，不影响图书内容，书标1个并附膜，同时将所有图书按中图法排架，完成倒架、上架。上述内容产生的所有费用均由供应商承担。</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本合同供货有效期自合同签订之日起45日内供货完毕。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全部图书按甲方要求上架后，乙方按国家有关财税规定向甲方开具全额完税销售发票，并提供2份购货清单明细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2027年</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图书到位后，买方对图书品目、数量、质量进行验收。对于不合格的图书，卖方必须及时补齐纠正，否则按短缺图书处理。 2.验收依据: (1)招标文件; (2)合同文本; (3)投标文件; (4)图书订单; (5)国内相应的标准、规范。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质保期：验收合格通过之日起三年。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按照国家标准、招标文件、投标文件和合同要求执行。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以保函形式交纳投标保证金的，投标人应在投标截止时间前将保函扫描成清晰的PDF文件，发送至邮箱shanxizhuoming_zb@163.com（邮件命名：项目编号）。保函必须由具有开具投标保函资格的单位开具；若供应商违约，开具保函单位承担连带责任； 2.本项目落实的政府采购政策 （1）《政府采购促进中小企业发展管理办法》（财库〔2020〕46 号）； （2）《财政部 司法部关于政府采购支持监狱企业发展有关问题的通知》（财库〔2014〕68 号）； （3）《国务院办公厅关于建立政府强制采购节能产品制度的通知》（国办发〔2007〕51 号）； （4）《财政部 国家发展改革委关于印发〈节能产品政府采购实施意见〉的通知》（财库〔2004〕185 号）； （5）《财政部环保总局关于环境标志产品政府采购实施的意见》（财库〔2006〕90 号）； （6）《三部门联合发布关于促进残疾人就业政府采购政策的通知》（财库〔2017〕141 号）； （7）《财政部 发展改革委 生态环境部 市场监管总局关于调整优化节能产品、环境标志产品政府采购执行机制的通知》（财库〔2019〕9 号）； （8）陕西省财政厅关于印发《陕西省中小企业政府采购信用融资办法》（陕财办采〔2018〕23号）； （9）《财政部 农业农村部 国家乡村振兴局关于运用政府采购政策支持乡村产业振兴的通知》（财库〔2021〕19号）； （10）《国务院办公厅关于在政府采购中实施本国产品标准及相关政策的通知 》（国办发〔2025〕34号）； （11）《关于推动解决政府采购异常低价问题的通知》（财库〔2026〕2号）； （12）其他需要落实的政府采购政策。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提供2025年1月(含1月）以来任意一个月的依法缴纳税收的相关凭据（时间以税款所属时期为准），凭据应有税务机关或代收机关的公章或业务专用章。依法免税或无须缴纳税收的供应商应提供相应证明文件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提供2025年1月(含1月）以来任意一个月的社会保障资金缴存单据或社保机构开具的社会保险参保缴费情况证明。依法不需要缴纳社会保障资金的供应商应提供相关文件证明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非法定代表人参加投标的，须提供法定代表人委托授权书，法定代表人参加投标时,只须提供法定代表人证明书</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供应商提供合法有效的出版物经营许可证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 者最高限价 合格</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3.落实《关于推动解决政府采购异常低价问题的通知》财库〔2026〕2号 相关要求。</w:t>
            </w:r>
          </w:p>
        </w:tc>
        <w:tc>
          <w:tcPr>
            <w:tcW w:type="dxa" w:w="1661"/>
          </w:tcPr>
          <w:p>
            <w:pPr>
              <w:pStyle w:val="null3"/>
            </w:pPr>
            <w:r>
              <w:rPr>
                <w:rFonts w:ascii="仿宋_GB2312" w:hAnsi="仿宋_GB2312" w:cs="仿宋_GB2312" w:eastAsia="仿宋_GB2312"/>
              </w:rPr>
              <w:t>开标一览表 投标函 商务应答表 标的清单 产品技术参数表.docx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投标文件的交货时间（供货期）</w:t>
            </w:r>
          </w:p>
        </w:tc>
        <w:tc>
          <w:tcPr>
            <w:tcW w:type="dxa" w:w="3322"/>
          </w:tcPr>
          <w:p>
            <w:pPr>
              <w:pStyle w:val="null3"/>
            </w:pPr>
            <w:r>
              <w:rPr>
                <w:rFonts w:ascii="仿宋_GB2312" w:hAnsi="仿宋_GB2312" w:cs="仿宋_GB2312" w:eastAsia="仿宋_GB2312"/>
              </w:rPr>
              <w:t>交货时间（供货期）不满足招标文件要求 不合格 交货时间（供货期）满足招标文件要求 合格</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投标文件的质保期</w:t>
            </w:r>
          </w:p>
        </w:tc>
        <w:tc>
          <w:tcPr>
            <w:tcW w:type="dxa" w:w="3322"/>
          </w:tcPr>
          <w:p>
            <w:pPr>
              <w:pStyle w:val="null3"/>
            </w:pPr>
            <w:r>
              <w:rPr>
                <w:rFonts w:ascii="仿宋_GB2312" w:hAnsi="仿宋_GB2312" w:cs="仿宋_GB2312" w:eastAsia="仿宋_GB2312"/>
              </w:rPr>
              <w:t>质保期不满足招标文件要求 不合格 质保期满足招标文件要求 合格</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投标文件的签署、盖章符合招标文件要求 合格</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投标文件的技术要求</w:t>
            </w:r>
          </w:p>
        </w:tc>
        <w:tc>
          <w:tcPr>
            <w:tcW w:type="dxa" w:w="3322"/>
          </w:tcPr>
          <w:p>
            <w:pPr>
              <w:pStyle w:val="null3"/>
            </w:pPr>
            <w:r>
              <w:rPr>
                <w:rFonts w:ascii="仿宋_GB2312" w:hAnsi="仿宋_GB2312" w:cs="仿宋_GB2312" w:eastAsia="仿宋_GB2312"/>
              </w:rPr>
              <w:t>投标文件的技术要求与招标文件要求不符的 不合格 投标文件的技术要求符合招标文件要求的 合格</w:t>
            </w:r>
          </w:p>
        </w:tc>
        <w:tc>
          <w:tcPr>
            <w:tcW w:type="dxa" w:w="1661"/>
          </w:tcPr>
          <w:p>
            <w:pPr>
              <w:pStyle w:val="null3"/>
            </w:pPr>
            <w:r>
              <w:rPr>
                <w:rFonts w:ascii="仿宋_GB2312" w:hAnsi="仿宋_GB2312" w:cs="仿宋_GB2312" w:eastAsia="仿宋_GB2312"/>
              </w:rPr>
              <w:t>投标文件封面 产品技术参数表.docx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投标文件含有采购人不能接受的附加条件的 不合格 投标文件没有采购人不能接受的附加条件的 合格</w:t>
            </w:r>
          </w:p>
        </w:tc>
        <w:tc>
          <w:tcPr>
            <w:tcW w:type="dxa" w:w="1661"/>
          </w:tcPr>
          <w:p>
            <w:pPr>
              <w:pStyle w:val="null3"/>
            </w:pPr>
            <w:r>
              <w:rPr>
                <w:rFonts w:ascii="仿宋_GB2312" w:hAnsi="仿宋_GB2312" w:cs="仿宋_GB2312" w:eastAsia="仿宋_GB2312"/>
              </w:rPr>
              <w:t>商务应答表 供应商认为有必要说明的其他问题.docx 投标文件封面</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不存在法律、法规和招标文件规定的其他无效情形 合格，存在法律、法规和招标文件规定的其他无效情形 不合格</w:t>
            </w:r>
          </w:p>
        </w:tc>
        <w:tc>
          <w:tcPr>
            <w:tcW w:type="dxa" w:w="1661"/>
          </w:tcPr>
          <w:p>
            <w:pPr>
              <w:pStyle w:val="null3"/>
            </w:pPr>
            <w:r>
              <w:rPr>
                <w:rFonts w:ascii="仿宋_GB2312" w:hAnsi="仿宋_GB2312" w:cs="仿宋_GB2312" w:eastAsia="仿宋_GB2312"/>
              </w:rPr>
              <w:t>投标函 供应商认为有必要说明的其他问题.docx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针对本项目制定的供货方案，内容包含①时间计划及保障措施②质量保证措施③换货与退货方案④供货人员组织安排。方案制定内容齐全，各类措施健全，完全满足采购需求并符合本项目实施特点得16分；每有一项未提供扣4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加工方案</w:t>
            </w:r>
          </w:p>
        </w:tc>
        <w:tc>
          <w:tcPr>
            <w:tcW w:type="dxa" w:w="2492"/>
          </w:tcPr>
          <w:p>
            <w:pPr>
              <w:pStyle w:val="null3"/>
            </w:pPr>
            <w:r>
              <w:rPr>
                <w:rFonts w:ascii="仿宋_GB2312" w:hAnsi="仿宋_GB2312" w:cs="仿宋_GB2312" w:eastAsia="仿宋_GB2312"/>
              </w:rPr>
              <w:t>针对本项目制定的图书加工方案，内容包含①加工流程和保障措施、②人员配备。方案制定内容齐全，各类措施健全，完全满足采购需求并符合本项目实施特点得8分；每有一项未提供扣4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加工方案.docx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的实际需求提供售后服务方案，内容包含①总体售后服务方案②售后人员安排③售后服务响应时间。方案制定内容齐全，各类措施健全，完全满足采购需求并符合本项目实施特点得9分；每有一项未提供扣3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的服务承诺，内容包含①针对本项目图书的特色增值服务方案②针对本项目的到书周期、到书率，提供详细的服务承诺③针对本项目的图书质量保证,提供服务承诺（承诺出版物为国家批准的正式的出版物、无知识产权纠纷，无盗版，严控意识形态领域风险。）方案制定内容齐全，各类措施健全，完全满足采购需求并符合本项目实施特点得12分；每有一项未提供扣4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根据项目实际需求，提供配送方案，内容包含①保证图书按时送货措施；②运输、派送方案；③图书调配方案；④包装方案，方案制定内容齐全，各类措施健全，完全满足采购需求并符合本项目实施特点得12分；每有一项未提供扣3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根据项目实际需求，提供应急方案方案，内容包含①产品运输出现问题时的应急补救措施②产品出现质量问题时的应急补救措施。 方案制定内容齐全，各类措施健全，完全满足采购需求并符合本项目实施特点得8分；每有一项未提供扣4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提供2023年1月1日至今（以合同签订时间为准）的类似业绩，以业绩合同复印件为依据，每提供一个得1分，最高得5分。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价格分统一采用低价优先法计算，即满足招标文件要求且投标价格最低的图书综合折扣为评标基准价，其价格分为满分。其他投标人的价格分统一按照下列公式计算： 价格分=(评标基准价／图书综合折扣)×30。 注：计算得分时四舍五入取小数点后两位。 以码洋为标准进行计算。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详见附件：加工方案.docx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详见附件：配送方案.docx</w:t>
      </w:r>
    </w:p>
    <w:p>
      <w:pPr>
        <w:pStyle w:val="null3"/>
        <w:ind w:firstLine="960"/>
      </w:pPr>
      <w:r>
        <w:rPr>
          <w:rFonts w:ascii="仿宋_GB2312" w:hAnsi="仿宋_GB2312" w:cs="仿宋_GB2312" w:eastAsia="仿宋_GB2312"/>
        </w:rPr>
        <w:t>详见附件：应急方案.docx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详见附件：供应商认为有必要说明的其他问题.docx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