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09694">
      <w:pPr>
        <w:pStyle w:val="3"/>
        <w:adjustRightInd w:val="0"/>
        <w:snapToGrid w:val="0"/>
        <w:jc w:val="center"/>
        <w:rPr>
          <w:rFonts w:hint="eastAsia" w:ascii="Times New Roman" w:hAnsi="Times New Roman" w:eastAsia="黑体"/>
          <w:sz w:val="36"/>
          <w:szCs w:val="36"/>
          <w:lang w:eastAsia="zh-CN"/>
        </w:rPr>
      </w:pPr>
      <w:r>
        <w:rPr>
          <w:rFonts w:hint="eastAsia" w:ascii="Times New Roman" w:hAnsi="Times New Roman" w:eastAsia="黑体"/>
          <w:sz w:val="36"/>
          <w:szCs w:val="36"/>
          <w:lang w:eastAsia="zh-CN"/>
        </w:rPr>
        <w:t>陕西财经职业技术学院</w:t>
      </w:r>
    </w:p>
    <w:p w14:paraId="4A945CE4">
      <w:pPr>
        <w:pStyle w:val="3"/>
        <w:adjustRightInd w:val="0"/>
        <w:snapToGrid w:val="0"/>
        <w:jc w:val="center"/>
        <w:rPr>
          <w:rFonts w:hint="eastAsia"/>
          <w:sz w:val="28"/>
        </w:rPr>
      </w:pPr>
      <w:r>
        <w:rPr>
          <w:rFonts w:hint="eastAsia" w:ascii="Times New Roman" w:hAnsi="Times New Roman" w:eastAsia="黑体"/>
          <w:sz w:val="36"/>
          <w:szCs w:val="36"/>
          <w:lang w:eastAsia="zh-CN"/>
        </w:rPr>
        <w:t>2026年纸质图书采购项目</w:t>
      </w:r>
      <w:r>
        <w:rPr>
          <w:rFonts w:hint="eastAsia" w:ascii="Times New Roman" w:hAnsi="Times New Roman" w:eastAsia="黑体"/>
          <w:sz w:val="36"/>
          <w:szCs w:val="36"/>
        </w:rPr>
        <w:t>合同</w:t>
      </w:r>
    </w:p>
    <w:p w14:paraId="0A70EE3E">
      <w:pPr>
        <w:rPr>
          <w:rFonts w:hint="eastAsia" w:cs="宋体"/>
          <w:b/>
          <w:bCs/>
          <w:szCs w:val="28"/>
        </w:rPr>
      </w:pPr>
    </w:p>
    <w:p w14:paraId="5A56F357">
      <w:pPr>
        <w:rPr>
          <w:rFonts w:hint="eastAsia" w:eastAsia="宋体"/>
          <w:b/>
          <w:bCs/>
          <w:sz w:val="28"/>
          <w:szCs w:val="28"/>
          <w:lang w:eastAsia="zh-CN"/>
        </w:rPr>
      </w:pPr>
      <w:r>
        <w:rPr>
          <w:rFonts w:hint="eastAsia" w:cs="宋体"/>
          <w:b/>
          <w:bCs/>
          <w:sz w:val="28"/>
          <w:szCs w:val="28"/>
        </w:rPr>
        <w:t>甲方：</w:t>
      </w:r>
      <w:r>
        <w:rPr>
          <w:rFonts w:hint="eastAsia" w:cs="宋体"/>
          <w:b/>
          <w:bCs/>
          <w:sz w:val="28"/>
          <w:szCs w:val="28"/>
          <w:lang w:eastAsia="zh-CN"/>
        </w:rPr>
        <w:t>陕西财经职业技术学院</w:t>
      </w:r>
    </w:p>
    <w:p w14:paraId="5AE93D86">
      <w:pPr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乙方：</w:t>
      </w:r>
      <w:r>
        <w:rPr>
          <w:b/>
          <w:bCs/>
          <w:sz w:val="28"/>
          <w:szCs w:val="28"/>
        </w:rPr>
        <w:t xml:space="preserve"> </w:t>
      </w:r>
    </w:p>
    <w:p w14:paraId="5162865B">
      <w:pPr>
        <w:pStyle w:val="3"/>
        <w:adjustRightInd w:val="0"/>
        <w:snapToGrid w:val="0"/>
        <w:jc w:val="left"/>
        <w:rPr>
          <w:rFonts w:hint="eastAsia" w:ascii="Times New Roman" w:hAnsi="Times New Roman"/>
          <w:b/>
          <w:sz w:val="28"/>
        </w:rPr>
      </w:pPr>
    </w:p>
    <w:p w14:paraId="08B0822B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  <w:szCs w:val="24"/>
        </w:rPr>
      </w:pPr>
      <w:r>
        <w:rPr>
          <w:rFonts w:hAnsi="宋体"/>
          <w:sz w:val="24"/>
        </w:rPr>
        <w:t>甲方通过</w:t>
      </w:r>
      <w:r>
        <w:rPr>
          <w:rFonts w:hint="eastAsia" w:hAnsi="宋体"/>
          <w:sz w:val="24"/>
        </w:rPr>
        <w:t>公开采购</w:t>
      </w:r>
      <w:r>
        <w:rPr>
          <w:rFonts w:hAnsi="宋体"/>
          <w:sz w:val="24"/>
        </w:rPr>
        <w:t>招标，乙方在甲方组织的</w:t>
      </w:r>
      <w:r>
        <w:rPr>
          <w:rFonts w:hint="eastAsia" w:hAnsi="宋体"/>
          <w:sz w:val="24"/>
          <w:lang w:eastAsia="zh-CN"/>
        </w:rPr>
        <w:t>陕西财经职业技术学院2026年纸质图书采购项目</w:t>
      </w:r>
      <w:r>
        <w:rPr>
          <w:rFonts w:hAnsi="宋体"/>
          <w:sz w:val="24"/>
        </w:rPr>
        <w:t>招投标活动中中标，</w:t>
      </w:r>
      <w:r>
        <w:rPr>
          <w:rFonts w:hAnsi="宋体"/>
          <w:sz w:val="24"/>
          <w:szCs w:val="24"/>
        </w:rPr>
        <w:t>根据《中华人民共和国</w:t>
      </w:r>
      <w:r>
        <w:rPr>
          <w:rFonts w:hint="eastAsia" w:hAnsi="宋体"/>
          <w:sz w:val="24"/>
          <w:szCs w:val="24"/>
        </w:rPr>
        <w:t>民</w:t>
      </w:r>
      <w:r>
        <w:rPr>
          <w:rFonts w:hAnsi="宋体"/>
          <w:sz w:val="24"/>
          <w:szCs w:val="24"/>
        </w:rPr>
        <w:t>法</w:t>
      </w:r>
      <w:r>
        <w:rPr>
          <w:rFonts w:hint="eastAsia" w:hAnsi="宋体"/>
          <w:sz w:val="24"/>
          <w:szCs w:val="24"/>
        </w:rPr>
        <w:t>典</w:t>
      </w:r>
      <w:r>
        <w:rPr>
          <w:rFonts w:hAnsi="宋体"/>
          <w:sz w:val="24"/>
          <w:szCs w:val="24"/>
        </w:rPr>
        <w:t>》，本着诚实信用、公平合理的原则，经双方协商一致，签订</w:t>
      </w:r>
      <w:r>
        <w:rPr>
          <w:rFonts w:hint="eastAsia" w:hAnsi="宋体"/>
          <w:sz w:val="24"/>
          <w:szCs w:val="24"/>
        </w:rPr>
        <w:t>本合同</w:t>
      </w:r>
      <w:r>
        <w:rPr>
          <w:rFonts w:hAnsi="宋体"/>
          <w:sz w:val="24"/>
          <w:szCs w:val="24"/>
        </w:rPr>
        <w:t>，以资共同信守。</w:t>
      </w:r>
      <w:r>
        <w:rPr>
          <w:rFonts w:hint="eastAsia" w:hAnsi="宋体"/>
          <w:sz w:val="24"/>
          <w:szCs w:val="24"/>
        </w:rPr>
        <w:t xml:space="preserve"> </w:t>
      </w:r>
    </w:p>
    <w:p w14:paraId="7E255477">
      <w:pPr>
        <w:pStyle w:val="3"/>
        <w:adjustRightInd w:val="0"/>
        <w:snapToGrid w:val="0"/>
        <w:spacing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第一条  项目</w:t>
      </w:r>
      <w:r>
        <w:rPr>
          <w:rFonts w:hint="eastAsia" w:ascii="黑体" w:hAnsi="黑体" w:eastAsia="黑体"/>
          <w:sz w:val="24"/>
          <w:szCs w:val="24"/>
        </w:rPr>
        <w:t>内容及金额</w:t>
      </w:r>
    </w:p>
    <w:p w14:paraId="49AFA886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项目编号：XXXXXXXX</w:t>
      </w:r>
    </w:p>
    <w:p w14:paraId="6F1E32FC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项目内容：</w:t>
      </w:r>
      <w:r>
        <w:rPr>
          <w:rFonts w:hint="eastAsia" w:hAnsi="宋体"/>
          <w:sz w:val="24"/>
          <w:szCs w:val="24"/>
          <w:lang w:eastAsia="zh-CN"/>
        </w:rPr>
        <w:t>2026年纸质图书采购项目</w:t>
      </w:r>
      <w:r>
        <w:rPr>
          <w:rFonts w:hAnsi="宋体"/>
          <w:sz w:val="24"/>
          <w:szCs w:val="24"/>
        </w:rPr>
        <w:t>。</w:t>
      </w:r>
    </w:p>
    <w:p w14:paraId="4834F76C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交货期限：自合同签订之日起</w:t>
      </w:r>
      <w:r>
        <w:rPr>
          <w:rFonts w:hint="eastAsia" w:hAnsi="宋体"/>
          <w:sz w:val="24"/>
          <w:szCs w:val="24"/>
          <w:lang w:val="en-US" w:eastAsia="zh-CN"/>
        </w:rPr>
        <w:t xml:space="preserve">     日内</w:t>
      </w:r>
      <w:r>
        <w:rPr>
          <w:rFonts w:hint="eastAsia" w:hAnsi="宋体"/>
          <w:sz w:val="24"/>
          <w:szCs w:val="24"/>
        </w:rPr>
        <w:t>供货完毕</w:t>
      </w:r>
      <w:r>
        <w:rPr>
          <w:rFonts w:hint="eastAsia" w:hAnsi="宋体"/>
          <w:sz w:val="24"/>
          <w:szCs w:val="24"/>
          <w:lang w:eastAsia="zh-CN"/>
        </w:rPr>
        <w:t>。</w:t>
      </w:r>
    </w:p>
    <w:p w14:paraId="7B104187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项目金额：总金额不超过XX万元（XX万元）。</w:t>
      </w:r>
    </w:p>
    <w:p w14:paraId="2CD57736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第</w:t>
      </w:r>
      <w:r>
        <w:rPr>
          <w:rFonts w:hint="eastAsia" w:ascii="黑体" w:hAnsi="黑体" w:eastAsia="黑体"/>
          <w:sz w:val="24"/>
          <w:szCs w:val="24"/>
        </w:rPr>
        <w:t>二</w:t>
      </w:r>
      <w:r>
        <w:rPr>
          <w:rFonts w:ascii="黑体" w:hAnsi="黑体" w:eastAsia="黑体"/>
          <w:sz w:val="24"/>
          <w:szCs w:val="24"/>
        </w:rPr>
        <w:t>条</w:t>
      </w:r>
      <w:r>
        <w:rPr>
          <w:rFonts w:hint="eastAsia" w:ascii="黑体" w:hAnsi="黑体" w:eastAsia="黑体"/>
          <w:sz w:val="24"/>
          <w:szCs w:val="24"/>
        </w:rPr>
        <w:t xml:space="preserve">  </w:t>
      </w:r>
      <w:r>
        <w:rPr>
          <w:rFonts w:ascii="黑体" w:hAnsi="黑体" w:eastAsia="黑体"/>
          <w:sz w:val="24"/>
          <w:szCs w:val="24"/>
        </w:rPr>
        <w:t>验收</w:t>
      </w:r>
      <w:r>
        <w:rPr>
          <w:rFonts w:hint="eastAsia" w:ascii="黑体" w:hAnsi="黑体" w:eastAsia="黑体"/>
          <w:sz w:val="24"/>
          <w:szCs w:val="24"/>
        </w:rPr>
        <w:t>及付款</w:t>
      </w:r>
    </w:p>
    <w:p w14:paraId="4C9A9220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hAnsi="宋体"/>
          <w:color w:val="000000"/>
          <w:sz w:val="24"/>
          <w:szCs w:val="24"/>
        </w:rPr>
      </w:pPr>
      <w:r>
        <w:rPr>
          <w:rFonts w:hint="eastAsia" w:hAnsi="宋体"/>
          <w:sz w:val="24"/>
          <w:szCs w:val="24"/>
        </w:rPr>
        <w:t>1</w:t>
      </w:r>
      <w:r>
        <w:rPr>
          <w:rFonts w:hint="eastAsia" w:hAnsi="宋体"/>
          <w:sz w:val="24"/>
          <w:szCs w:val="24"/>
          <w:lang w:val="en-US" w:eastAsia="zh-CN"/>
        </w:rPr>
        <w:t>.</w:t>
      </w:r>
      <w:r>
        <w:rPr>
          <w:rFonts w:hint="eastAsia" w:hAnsi="宋体"/>
          <w:sz w:val="24"/>
          <w:szCs w:val="24"/>
        </w:rPr>
        <w:t>甲方所订图书到</w:t>
      </w:r>
      <w:r>
        <w:rPr>
          <w:rFonts w:hint="eastAsia" w:hAnsi="宋体"/>
          <w:sz w:val="24"/>
          <w:szCs w:val="24"/>
          <w:lang w:val="en-US" w:eastAsia="zh-CN"/>
        </w:rPr>
        <w:t>货</w:t>
      </w:r>
      <w:r>
        <w:rPr>
          <w:rFonts w:hint="eastAsia" w:hAnsi="宋体"/>
          <w:sz w:val="24"/>
          <w:szCs w:val="24"/>
        </w:rPr>
        <w:t>后，由甲方负责组织验收，验收内容为甲方订购图书的品种、版本、数量、金额等。</w:t>
      </w:r>
    </w:p>
    <w:p w14:paraId="02D11741">
      <w:pPr>
        <w:spacing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>2</w:t>
      </w:r>
      <w:r>
        <w:rPr>
          <w:rFonts w:hint="eastAsia" w:hAnsi="宋体"/>
          <w:color w:val="000000"/>
          <w:sz w:val="24"/>
          <w:szCs w:val="24"/>
          <w:lang w:val="en-US" w:eastAsia="zh-CN"/>
        </w:rPr>
        <w:t>.</w:t>
      </w:r>
      <w:r>
        <w:rPr>
          <w:rFonts w:hAnsi="宋体"/>
          <w:color w:val="000000"/>
          <w:sz w:val="24"/>
          <w:szCs w:val="24"/>
        </w:rPr>
        <w:t>甲方在</w:t>
      </w:r>
      <w:r>
        <w:rPr>
          <w:rFonts w:hint="eastAsia" w:hAnsi="宋体"/>
          <w:color w:val="000000"/>
          <w:sz w:val="24"/>
          <w:szCs w:val="24"/>
        </w:rPr>
        <w:t>所订</w:t>
      </w:r>
      <w:r>
        <w:rPr>
          <w:rFonts w:hAnsi="宋体"/>
          <w:color w:val="000000"/>
          <w:sz w:val="24"/>
          <w:szCs w:val="24"/>
        </w:rPr>
        <w:t>图书</w:t>
      </w:r>
      <w:r>
        <w:rPr>
          <w:rFonts w:hint="eastAsia" w:hAnsi="宋体"/>
          <w:color w:val="000000"/>
          <w:sz w:val="24"/>
          <w:szCs w:val="24"/>
        </w:rPr>
        <w:t>全部</w:t>
      </w:r>
      <w:r>
        <w:rPr>
          <w:rFonts w:hAnsi="宋体"/>
          <w:color w:val="000000"/>
          <w:sz w:val="24"/>
          <w:szCs w:val="24"/>
        </w:rPr>
        <w:t>验收合格后</w:t>
      </w:r>
      <w:r>
        <w:rPr>
          <w:rFonts w:hint="eastAsia" w:hAnsi="宋体"/>
          <w:color w:val="000000"/>
          <w:sz w:val="24"/>
          <w:szCs w:val="24"/>
        </w:rPr>
        <w:t>，</w:t>
      </w:r>
      <w:r>
        <w:rPr>
          <w:rFonts w:hint="eastAsia" w:ascii="宋体" w:hAnsi="宋体" w:cs="宋体"/>
          <w:color w:val="000000"/>
          <w:sz w:val="24"/>
          <w:szCs w:val="24"/>
        </w:rPr>
        <w:t>据实际数量按图书总码洋*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综合</w:t>
      </w:r>
      <w:r>
        <w:rPr>
          <w:rFonts w:hint="eastAsia" w:ascii="宋体" w:hAnsi="宋体" w:cs="宋体"/>
          <w:color w:val="000000"/>
          <w:sz w:val="24"/>
          <w:szCs w:val="24"/>
        </w:rPr>
        <w:t>折扣</w:t>
      </w:r>
      <w:r>
        <w:rPr>
          <w:rFonts w:hint="eastAsia" w:hAnsi="宋体"/>
          <w:b/>
          <w:color w:val="000000"/>
          <w:sz w:val="24"/>
          <w:szCs w:val="24"/>
          <w:u w:val="single"/>
        </w:rPr>
        <w:t>（XX%）</w:t>
      </w:r>
      <w:r>
        <w:rPr>
          <w:rFonts w:hint="eastAsia" w:ascii="宋体" w:hAnsi="宋体" w:cs="宋体"/>
          <w:color w:val="000000"/>
          <w:sz w:val="24"/>
          <w:szCs w:val="24"/>
        </w:rPr>
        <w:t>进行结算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，全部图书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按甲方要求上架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后，乙方按国家有关财税规定向甲方开具全额完税销售发票，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并提供2份购货清单明细，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 xml:space="preserve">甲方支付合同总金额的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95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.00%，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2027年支付剩余5%</w:t>
      </w:r>
      <w:r>
        <w:rPr>
          <w:rFonts w:ascii="宋体" w:hAnsi="宋体"/>
          <w:sz w:val="24"/>
          <w:szCs w:val="24"/>
        </w:rPr>
        <w:t>。</w:t>
      </w:r>
    </w:p>
    <w:p w14:paraId="23332C97">
      <w:pPr>
        <w:pStyle w:val="3"/>
        <w:adjustRightInd w:val="0"/>
        <w:snapToGrid w:val="0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3.</w:t>
      </w:r>
      <w:r>
        <w:rPr>
          <w:rFonts w:hAnsi="宋体"/>
          <w:sz w:val="24"/>
          <w:szCs w:val="24"/>
        </w:rPr>
        <w:t>若因乙方未向甲方交付发票导致甲方未能按时付款，甲方不构成违约。</w:t>
      </w:r>
    </w:p>
    <w:p w14:paraId="7CC1965C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4</w:t>
      </w:r>
      <w:r>
        <w:rPr>
          <w:rFonts w:hint="eastAsia" w:hAnsi="宋体"/>
          <w:sz w:val="24"/>
          <w:szCs w:val="24"/>
          <w:lang w:val="en-US" w:eastAsia="zh-CN"/>
        </w:rPr>
        <w:t>.</w:t>
      </w:r>
      <w:r>
        <w:rPr>
          <w:rFonts w:hint="eastAsia" w:hAnsi="宋体"/>
          <w:sz w:val="24"/>
          <w:szCs w:val="24"/>
        </w:rPr>
        <w:t>遇到甲方寒暑假及年底冻结资金，付款顺延</w:t>
      </w:r>
      <w:r>
        <w:rPr>
          <w:rFonts w:hint="eastAsia"/>
          <w:sz w:val="24"/>
        </w:rPr>
        <w:t>，具体付款时间双方另行协商</w:t>
      </w:r>
      <w:r>
        <w:rPr>
          <w:rFonts w:hint="eastAsia" w:hAnsi="宋体"/>
          <w:sz w:val="24"/>
          <w:szCs w:val="24"/>
        </w:rPr>
        <w:t>。</w:t>
      </w:r>
    </w:p>
    <w:p w14:paraId="60548708">
      <w:pPr>
        <w:pStyle w:val="3"/>
        <w:adjustRightInd w:val="0"/>
        <w:snapToGrid w:val="0"/>
        <w:spacing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bookmarkStart w:id="0" w:name="_GoBack"/>
      <w:bookmarkEnd w:id="0"/>
      <w:r>
        <w:rPr>
          <w:rFonts w:ascii="黑体" w:hAnsi="黑体" w:eastAsia="黑体"/>
          <w:sz w:val="24"/>
          <w:szCs w:val="24"/>
        </w:rPr>
        <w:t>第</w:t>
      </w:r>
      <w:r>
        <w:rPr>
          <w:rFonts w:hint="eastAsia" w:ascii="黑体" w:hAnsi="黑体" w:eastAsia="黑体"/>
          <w:sz w:val="24"/>
          <w:szCs w:val="24"/>
        </w:rPr>
        <w:t>三</w:t>
      </w:r>
      <w:r>
        <w:rPr>
          <w:rFonts w:ascii="黑体" w:hAnsi="黑体" w:eastAsia="黑体"/>
          <w:sz w:val="24"/>
          <w:szCs w:val="24"/>
        </w:rPr>
        <w:t>条  双方的权利和义务</w:t>
      </w:r>
    </w:p>
    <w:p w14:paraId="57F03573">
      <w:pPr>
        <w:pStyle w:val="3"/>
        <w:adjustRightInd w:val="0"/>
        <w:snapToGrid w:val="0"/>
        <w:spacing w:line="360" w:lineRule="auto"/>
        <w:ind w:firstLine="482" w:firstLineChars="200"/>
        <w:rPr>
          <w:rFonts w:hAnsi="宋体"/>
          <w:b/>
          <w:sz w:val="24"/>
          <w:szCs w:val="24"/>
        </w:rPr>
      </w:pPr>
      <w:r>
        <w:rPr>
          <w:rFonts w:hAnsi="宋体"/>
          <w:b/>
          <w:sz w:val="24"/>
          <w:szCs w:val="24"/>
        </w:rPr>
        <w:t>（一）甲方的责权利</w:t>
      </w:r>
    </w:p>
    <w:p w14:paraId="703E1DD5">
      <w:pPr>
        <w:pStyle w:val="3"/>
        <w:adjustRightInd w:val="0"/>
        <w:snapToGrid w:val="0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1</w:t>
      </w:r>
      <w:r>
        <w:rPr>
          <w:rFonts w:hint="eastAsia" w:hAnsi="宋体"/>
          <w:sz w:val="24"/>
          <w:szCs w:val="24"/>
          <w:lang w:val="en-US" w:eastAsia="zh-CN"/>
        </w:rPr>
        <w:t>.</w:t>
      </w:r>
      <w:r>
        <w:rPr>
          <w:rFonts w:hAnsi="宋体"/>
          <w:sz w:val="24"/>
          <w:szCs w:val="24"/>
        </w:rPr>
        <w:t>甲方根据</w:t>
      </w:r>
      <w:r>
        <w:rPr>
          <w:rFonts w:hint="eastAsia" w:hAnsi="宋体"/>
          <w:sz w:val="24"/>
          <w:szCs w:val="24"/>
        </w:rPr>
        <w:t>己方</w:t>
      </w:r>
      <w:r>
        <w:rPr>
          <w:rFonts w:hAnsi="宋体"/>
          <w:sz w:val="24"/>
          <w:szCs w:val="24"/>
        </w:rPr>
        <w:t>提供的书目或图书样品</w:t>
      </w:r>
      <w:r>
        <w:rPr>
          <w:rFonts w:hint="eastAsia" w:hAnsi="宋体"/>
          <w:sz w:val="24"/>
          <w:szCs w:val="24"/>
        </w:rPr>
        <w:t>向</w:t>
      </w:r>
      <w:r>
        <w:rPr>
          <w:rFonts w:hAnsi="宋体"/>
          <w:sz w:val="24"/>
          <w:szCs w:val="24"/>
        </w:rPr>
        <w:t>乙方订购、现购所需图书并形成订单，订单的项目包括：国际标准书号、书名、著(作、译)者、</w:t>
      </w:r>
      <w:r>
        <w:rPr>
          <w:rFonts w:hint="eastAsia" w:hAnsi="宋体"/>
          <w:sz w:val="24"/>
          <w:szCs w:val="24"/>
        </w:rPr>
        <w:t>出版者、</w:t>
      </w:r>
      <w:r>
        <w:rPr>
          <w:rFonts w:hAnsi="宋体"/>
          <w:sz w:val="24"/>
          <w:szCs w:val="24"/>
        </w:rPr>
        <w:t>单价、数量。</w:t>
      </w:r>
    </w:p>
    <w:p w14:paraId="72F71205">
      <w:pPr>
        <w:pStyle w:val="3"/>
        <w:adjustRightInd w:val="0"/>
        <w:snapToGrid w:val="0"/>
        <w:spacing w:line="360" w:lineRule="auto"/>
        <w:ind w:left="542" w:leftChars="258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2</w:t>
      </w:r>
      <w:r>
        <w:rPr>
          <w:rFonts w:hint="eastAsia" w:hAnsi="宋体"/>
          <w:sz w:val="24"/>
          <w:szCs w:val="24"/>
          <w:lang w:val="en-US" w:eastAsia="zh-CN"/>
        </w:rPr>
        <w:t>.</w:t>
      </w:r>
      <w:r>
        <w:rPr>
          <w:rFonts w:hAnsi="宋体"/>
          <w:sz w:val="24"/>
          <w:szCs w:val="24"/>
        </w:rPr>
        <w:t>甲方无正当理由不得拒收乙方按订单要求提供的图书。</w:t>
      </w:r>
    </w:p>
    <w:p w14:paraId="3D6B2103">
      <w:pPr>
        <w:pStyle w:val="3"/>
        <w:adjustRightInd w:val="0"/>
        <w:snapToGrid w:val="0"/>
        <w:spacing w:line="360" w:lineRule="auto"/>
        <w:ind w:left="542" w:leftChars="258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3</w:t>
      </w:r>
      <w:r>
        <w:rPr>
          <w:rFonts w:hint="eastAsia" w:hAnsi="宋体"/>
          <w:sz w:val="24"/>
          <w:szCs w:val="24"/>
          <w:lang w:val="en-US" w:eastAsia="zh-CN"/>
        </w:rPr>
        <w:t>.</w:t>
      </w:r>
      <w:r>
        <w:rPr>
          <w:rFonts w:hAnsi="宋体"/>
          <w:sz w:val="24"/>
          <w:szCs w:val="24"/>
        </w:rPr>
        <w:t>甲方验收时如有误差，应及时通知乙方，经双方核实后，确认实际到货数量。</w:t>
      </w:r>
    </w:p>
    <w:p w14:paraId="1255EDA5">
      <w:pPr>
        <w:pStyle w:val="3"/>
        <w:adjustRightInd w:val="0"/>
        <w:snapToGrid w:val="0"/>
        <w:spacing w:line="360" w:lineRule="auto"/>
        <w:ind w:left="78" w:leftChars="37" w:firstLine="487" w:firstLineChars="203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4</w:t>
      </w:r>
      <w:r>
        <w:rPr>
          <w:rFonts w:hint="eastAsia" w:hAnsi="宋体"/>
          <w:sz w:val="24"/>
          <w:szCs w:val="24"/>
          <w:lang w:val="en-US" w:eastAsia="zh-CN"/>
        </w:rPr>
        <w:t>.</w:t>
      </w:r>
      <w:r>
        <w:rPr>
          <w:rFonts w:hAnsi="宋体"/>
          <w:sz w:val="24"/>
          <w:szCs w:val="24"/>
        </w:rPr>
        <w:t>甲方有权要求乙方更换验收不合格的图书、退回无法更换的图书及非甲方预</w:t>
      </w:r>
      <w:r>
        <w:rPr>
          <w:rFonts w:hint="eastAsia" w:hAnsi="宋体"/>
          <w:sz w:val="24"/>
          <w:szCs w:val="24"/>
        </w:rPr>
        <w:t>订</w:t>
      </w:r>
      <w:r>
        <w:rPr>
          <w:rFonts w:hAnsi="宋体"/>
          <w:sz w:val="24"/>
          <w:szCs w:val="24"/>
        </w:rPr>
        <w:t>图书。退换图书时应随书附退</w:t>
      </w:r>
      <w:r>
        <w:rPr>
          <w:rFonts w:hint="eastAsia" w:hAnsi="宋体"/>
          <w:sz w:val="24"/>
          <w:szCs w:val="24"/>
        </w:rPr>
        <w:t>换</w:t>
      </w:r>
      <w:r>
        <w:rPr>
          <w:rFonts w:hAnsi="宋体"/>
          <w:sz w:val="24"/>
          <w:szCs w:val="24"/>
        </w:rPr>
        <w:t>书清单一份。</w:t>
      </w:r>
    </w:p>
    <w:p w14:paraId="75599710">
      <w:pPr>
        <w:pStyle w:val="3"/>
        <w:adjustRightInd w:val="0"/>
        <w:snapToGrid w:val="0"/>
        <w:spacing w:line="360" w:lineRule="auto"/>
        <w:ind w:firstLine="482" w:firstLineChars="200"/>
        <w:rPr>
          <w:rFonts w:hAnsi="宋体"/>
          <w:b/>
          <w:sz w:val="24"/>
          <w:szCs w:val="24"/>
        </w:rPr>
      </w:pPr>
      <w:r>
        <w:rPr>
          <w:rFonts w:hint="eastAsia" w:hAnsi="宋体"/>
          <w:b/>
          <w:sz w:val="24"/>
          <w:szCs w:val="24"/>
        </w:rPr>
        <w:t>（</w:t>
      </w:r>
      <w:r>
        <w:rPr>
          <w:rFonts w:hAnsi="宋体"/>
          <w:b/>
          <w:sz w:val="24"/>
          <w:szCs w:val="24"/>
        </w:rPr>
        <w:t>二</w:t>
      </w:r>
      <w:r>
        <w:rPr>
          <w:rFonts w:hint="eastAsia" w:hAnsi="宋体"/>
          <w:b/>
          <w:sz w:val="24"/>
          <w:szCs w:val="24"/>
        </w:rPr>
        <w:t>）</w:t>
      </w:r>
      <w:r>
        <w:rPr>
          <w:rFonts w:hAnsi="宋体"/>
          <w:b/>
          <w:sz w:val="24"/>
          <w:szCs w:val="24"/>
        </w:rPr>
        <w:t>乙方的责权利</w:t>
      </w:r>
    </w:p>
    <w:p w14:paraId="0CBCAE52">
      <w:pPr>
        <w:spacing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乙方</w:t>
      </w:r>
      <w:r>
        <w:rPr>
          <w:rFonts w:ascii="宋体" w:hAnsi="宋体"/>
          <w:sz w:val="24"/>
          <w:szCs w:val="24"/>
        </w:rPr>
        <w:t>必须定期提供、定期更新图书书目，且书目信息收集全面、无遗漏，书目信息含题名、责任者、ISBN号、版本、出版社、出版时间、读者对象及内容摘要等详尽内容。</w:t>
      </w:r>
    </w:p>
    <w:p w14:paraId="7106CA0A">
      <w:pPr>
        <w:spacing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</w:rPr>
        <w:t>乙方</w:t>
      </w:r>
      <w:r>
        <w:rPr>
          <w:rFonts w:ascii="宋体" w:hAnsi="宋体"/>
          <w:sz w:val="24"/>
          <w:szCs w:val="24"/>
        </w:rPr>
        <w:t>必须提供可供预订使用的电子版采访数据，要求著录规范、内容完备全面；提供CALIS标准编目数据，并与所购图书同时到馆。</w:t>
      </w:r>
    </w:p>
    <w:p w14:paraId="799DDAA2">
      <w:pPr>
        <w:spacing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hint="eastAsia" w:ascii="宋体" w:hAnsi="宋体"/>
          <w:sz w:val="24"/>
          <w:szCs w:val="24"/>
        </w:rPr>
        <w:t>乙方需</w:t>
      </w:r>
      <w:r>
        <w:rPr>
          <w:rFonts w:ascii="宋体" w:hAnsi="宋体"/>
          <w:sz w:val="24"/>
          <w:szCs w:val="24"/>
        </w:rPr>
        <w:t>提供卖场采购和样书采购。</w:t>
      </w:r>
    </w:p>
    <w:p w14:paraId="5249731F">
      <w:pPr>
        <w:spacing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4.乙方在收到甲方的图书订单后，必须按甲方订单提供的品种、版本和复本</w:t>
      </w:r>
      <w:r>
        <w:rPr>
          <w:rFonts w:hint="eastAsia" w:ascii="宋体" w:hAnsi="宋体"/>
          <w:sz w:val="24"/>
          <w:szCs w:val="24"/>
        </w:rPr>
        <w:t>信息配发图书，严禁随意搭配，非订购图书一概无条件退回；如由于订购信息中未明确标明读者对象与图书类型等，致使到书与建设要求不符，在不影响二次销售的前提下应同意退回。</w:t>
      </w:r>
    </w:p>
    <w:p w14:paraId="1654D163">
      <w:pPr>
        <w:spacing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乙方需</w:t>
      </w:r>
      <w:r>
        <w:rPr>
          <w:rFonts w:ascii="宋体" w:hAnsi="宋体"/>
          <w:sz w:val="24"/>
          <w:szCs w:val="24"/>
        </w:rPr>
        <w:t>及时提供信息反馈，每月反馈新书配送信息、每2个月反馈未到图书</w:t>
      </w:r>
      <w:r>
        <w:rPr>
          <w:rFonts w:hint="eastAsia" w:ascii="宋体" w:hAnsi="宋体"/>
          <w:sz w:val="24"/>
          <w:szCs w:val="24"/>
        </w:rPr>
        <w:t>信息</w:t>
      </w:r>
      <w:r>
        <w:rPr>
          <w:rFonts w:ascii="宋体" w:hAnsi="宋体"/>
          <w:sz w:val="24"/>
          <w:szCs w:val="24"/>
        </w:rPr>
        <w:t>及原因</w:t>
      </w:r>
      <w:r>
        <w:rPr>
          <w:rFonts w:hint="eastAsia" w:ascii="宋体" w:hAnsi="宋体"/>
          <w:sz w:val="24"/>
          <w:szCs w:val="24"/>
        </w:rPr>
        <w:t>，以便于甲方及时更换或撤订。</w:t>
      </w:r>
    </w:p>
    <w:p w14:paraId="182BDD6D">
      <w:pPr>
        <w:spacing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乙方需</w:t>
      </w:r>
      <w:r>
        <w:rPr>
          <w:rFonts w:ascii="宋体" w:hAnsi="宋体"/>
          <w:sz w:val="24"/>
          <w:szCs w:val="24"/>
        </w:rPr>
        <w:t>提供</w:t>
      </w:r>
      <w:r>
        <w:rPr>
          <w:rFonts w:hint="eastAsia" w:ascii="宋体" w:hAnsi="宋体"/>
          <w:sz w:val="24"/>
          <w:szCs w:val="24"/>
        </w:rPr>
        <w:t>发书</w:t>
      </w:r>
      <w:r>
        <w:rPr>
          <w:rFonts w:ascii="宋体" w:hAnsi="宋体"/>
          <w:sz w:val="24"/>
          <w:szCs w:val="24"/>
        </w:rPr>
        <w:t>清单：发书清单一式两份，内容一致，加盖发票专用章或财务专用章，清单注明包号、题名、ISBN号、出版社、单价及复本量，一包一单。每包有小计，整批合计单显示总种数、总册数与总金额。</w:t>
      </w:r>
    </w:p>
    <w:p w14:paraId="70765D32">
      <w:pPr>
        <w:spacing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ascii="宋体" w:hAnsi="宋体"/>
          <w:sz w:val="24"/>
          <w:szCs w:val="24"/>
        </w:rPr>
        <w:t>.乙方应在图书发运前对图书进行满足于运输距离、防湿和防破损装卸要求的包装，并附发</w:t>
      </w:r>
      <w:r>
        <w:rPr>
          <w:rFonts w:hint="eastAsia" w:ascii="宋体" w:hAnsi="宋体"/>
          <w:sz w:val="24"/>
          <w:szCs w:val="24"/>
        </w:rPr>
        <w:t>书</w:t>
      </w:r>
      <w:r>
        <w:rPr>
          <w:rFonts w:ascii="宋体" w:hAnsi="宋体"/>
          <w:sz w:val="24"/>
          <w:szCs w:val="24"/>
        </w:rPr>
        <w:t>清单一式贰份（加盖公章）随包装货件安全运输到达甲方指定地点，装有发</w:t>
      </w:r>
      <w:r>
        <w:rPr>
          <w:rFonts w:hint="eastAsia" w:ascii="宋体" w:hAnsi="宋体"/>
          <w:sz w:val="24"/>
          <w:szCs w:val="24"/>
        </w:rPr>
        <w:t>书</w:t>
      </w:r>
      <w:r>
        <w:rPr>
          <w:rFonts w:ascii="宋体" w:hAnsi="宋体"/>
          <w:sz w:val="24"/>
          <w:szCs w:val="24"/>
        </w:rPr>
        <w:t>清单的一包应用不同颜色包装纸区分，为此所发生的费用全部由乙方承担。</w:t>
      </w:r>
    </w:p>
    <w:p w14:paraId="78F92325">
      <w:pPr>
        <w:spacing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ascii="宋体" w:hAnsi="宋体"/>
          <w:sz w:val="24"/>
          <w:szCs w:val="24"/>
        </w:rPr>
        <w:t>.所有图书不能有质量问题，若验收时发现有污损、图文不清、缺页、倒页、缺附件等质量不合格的图书，以及与订单不符的图书，一律无条件予以退货（不能以已加工为理由拒绝），由此造成的损失及费用全部由乙方承担。</w:t>
      </w:r>
    </w:p>
    <w:p w14:paraId="0E005F74">
      <w:pPr>
        <w:spacing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ascii="宋体" w:hAnsi="宋体"/>
          <w:sz w:val="24"/>
          <w:szCs w:val="24"/>
        </w:rPr>
        <w:t>.乙方不得向甲方提供盗版图书，如果发现有盗版图书，乙方应承担由此带</w:t>
      </w:r>
      <w:r>
        <w:rPr>
          <w:rFonts w:hint="eastAsia" w:ascii="宋体" w:hAnsi="宋体"/>
          <w:sz w:val="24"/>
          <w:szCs w:val="24"/>
        </w:rPr>
        <w:t>来的一切责任，并对甲方以该图书码洋十倍的赔偿。如图书印刷、装帧质量等与要求不符，或在使用过程中，出现缺页、错页、倒装、破损等质量问题，成交供应商应无条件调换，不论图书是否已经加工。</w:t>
      </w:r>
    </w:p>
    <w:p w14:paraId="3B3DC6E2">
      <w:pPr>
        <w:spacing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若因乙方提供盗版图书致使甲方先行对外承担责任的，甲方在承担责任后有权全额向乙方追偿。</w:t>
      </w:r>
    </w:p>
    <w:p w14:paraId="6A37695A">
      <w:pPr>
        <w:spacing w:line="360" w:lineRule="auto"/>
        <w:ind w:firstLine="420" w:firstLineChars="175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11.</w:t>
      </w:r>
      <w:r>
        <w:rPr>
          <w:rFonts w:ascii="宋体" w:hAnsi="宋体"/>
          <w:sz w:val="24"/>
          <w:szCs w:val="24"/>
        </w:rPr>
        <w:t>凡送交到甲方的图书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以图书定价作为计算书款的依据，经验收发现书款</w:t>
      </w:r>
      <w:r>
        <w:rPr>
          <w:rFonts w:hint="eastAsia" w:ascii="宋体" w:hAnsi="宋体"/>
          <w:sz w:val="24"/>
          <w:szCs w:val="24"/>
        </w:rPr>
        <w:t>与发货单不符的，甲方及时通知乙方派员到验收地核算，乙方接到通知之日起五个工作日内不能派员核算的，以甲方验收的实际数额计算书款金额。</w:t>
      </w:r>
    </w:p>
    <w:p w14:paraId="10987634">
      <w:pPr>
        <w:spacing w:line="360" w:lineRule="auto"/>
        <w:ind w:left="420" w:left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14.甲方需到外地现选图书时，乙方应承担甲方人员因此产生的一切费用。</w:t>
      </w:r>
    </w:p>
    <w:p w14:paraId="6D561BFD">
      <w:pPr>
        <w:pStyle w:val="3"/>
        <w:adjustRightInd w:val="0"/>
        <w:snapToGrid w:val="0"/>
        <w:spacing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第</w:t>
      </w:r>
      <w:r>
        <w:rPr>
          <w:rFonts w:hint="eastAsia" w:ascii="黑体" w:hAnsi="黑体" w:eastAsia="黑体"/>
          <w:sz w:val="24"/>
          <w:szCs w:val="24"/>
        </w:rPr>
        <w:t>四</w:t>
      </w:r>
      <w:r>
        <w:rPr>
          <w:rFonts w:ascii="黑体" w:hAnsi="黑体" w:eastAsia="黑体"/>
          <w:sz w:val="24"/>
          <w:szCs w:val="24"/>
        </w:rPr>
        <w:t>条  违约责任</w:t>
      </w:r>
    </w:p>
    <w:p w14:paraId="1F734ECD">
      <w:pPr>
        <w:spacing w:line="360" w:lineRule="auto"/>
        <w:ind w:firstLine="420" w:firstLineChars="17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1.合同生效后，甲乙双方应按合同规定认真履约。合同履约责任只涉及合同</w:t>
      </w:r>
      <w:r>
        <w:rPr>
          <w:rFonts w:hint="eastAsia" w:ascii="宋体" w:hAnsi="宋体"/>
          <w:sz w:val="24"/>
          <w:szCs w:val="24"/>
        </w:rPr>
        <w:t>甲乙双方，不考虑第三方因素。</w:t>
      </w:r>
    </w:p>
    <w:p w14:paraId="5D666124">
      <w:pPr>
        <w:spacing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乙方逾期交货，每天应按合同总价的1‰向甲方支付违约金。如乙方逾期三十天仍未履行交货义务的，甲方有权终止合同，乙方须按合同总价的30%计算向甲方支付违约金，违约金不足以弥补甲方损失的，乙方还应赔偿甲方</w:t>
      </w:r>
      <w:r>
        <w:rPr>
          <w:rFonts w:hint="eastAsia" w:ascii="宋体" w:hAnsi="宋体"/>
          <w:sz w:val="24"/>
          <w:szCs w:val="24"/>
        </w:rPr>
        <w:t>全部</w:t>
      </w:r>
      <w:r>
        <w:rPr>
          <w:rFonts w:ascii="宋体" w:hAnsi="宋体"/>
          <w:sz w:val="24"/>
          <w:szCs w:val="24"/>
        </w:rPr>
        <w:t>损失。</w:t>
      </w:r>
    </w:p>
    <w:p w14:paraId="474F2514">
      <w:pPr>
        <w:spacing w:line="360" w:lineRule="auto"/>
        <w:ind w:left="420" w:left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3.甲方无正当理由拒收图书，应向乙方支付合同总价款30%的违约金。</w:t>
      </w:r>
    </w:p>
    <w:p w14:paraId="50035F2D">
      <w:pPr>
        <w:spacing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乙方所交的图书品种、出版社、数量和质量不符合合同约定，所供图书达不到双方确认的技术标准的，乙方必须无条件退回全部货款，并向甲方支付合同总价款30%的违约金，违约金不足以弥补甲方损失的，乙方还应赔偿甲方</w:t>
      </w:r>
      <w:r>
        <w:rPr>
          <w:rFonts w:hint="eastAsia" w:ascii="宋体" w:hAnsi="宋体"/>
          <w:sz w:val="24"/>
          <w:szCs w:val="24"/>
        </w:rPr>
        <w:t>全部</w:t>
      </w:r>
      <w:r>
        <w:rPr>
          <w:rFonts w:ascii="宋体" w:hAnsi="宋体"/>
          <w:sz w:val="24"/>
          <w:szCs w:val="24"/>
        </w:rPr>
        <w:t>损失。</w:t>
      </w:r>
    </w:p>
    <w:p w14:paraId="128BC86B">
      <w:pPr>
        <w:spacing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5.</w:t>
      </w:r>
      <w:r>
        <w:rPr>
          <w:rFonts w:hint="eastAsia" w:ascii="宋体" w:hAnsi="宋体"/>
          <w:sz w:val="24"/>
          <w:szCs w:val="24"/>
        </w:rPr>
        <w:t>本合同所称损失包括但不限于直接损失、赔偿金、违约金、诉讼费用、仲裁费、鉴定费、保全费、保全担保费、律师费等。</w:t>
      </w:r>
    </w:p>
    <w:p w14:paraId="2269F979">
      <w:pPr>
        <w:pStyle w:val="3"/>
        <w:adjustRightInd w:val="0"/>
        <w:snapToGrid w:val="0"/>
        <w:spacing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第</w:t>
      </w:r>
      <w:r>
        <w:rPr>
          <w:rFonts w:hint="eastAsia" w:ascii="黑体" w:hAnsi="黑体" w:eastAsia="黑体"/>
          <w:sz w:val="24"/>
          <w:szCs w:val="24"/>
        </w:rPr>
        <w:t>五</w:t>
      </w:r>
      <w:r>
        <w:rPr>
          <w:rFonts w:ascii="黑体" w:hAnsi="黑体" w:eastAsia="黑体"/>
          <w:sz w:val="24"/>
          <w:szCs w:val="24"/>
        </w:rPr>
        <w:t>条  免责条款</w:t>
      </w:r>
    </w:p>
    <w:p w14:paraId="4117C438">
      <w:pPr>
        <w:pStyle w:val="3"/>
        <w:adjustRightInd w:val="0"/>
        <w:snapToGrid w:val="0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本合同</w:t>
      </w:r>
      <w:r>
        <w:rPr>
          <w:rFonts w:hAnsi="宋体"/>
          <w:sz w:val="24"/>
          <w:szCs w:val="24"/>
        </w:rPr>
        <w:t>执行过程中，如遇国家政策法规调整或《中华人民共和国</w:t>
      </w:r>
      <w:r>
        <w:rPr>
          <w:rFonts w:hint="eastAsia" w:hAnsi="宋体"/>
          <w:sz w:val="24"/>
          <w:szCs w:val="24"/>
        </w:rPr>
        <w:t>民法典</w:t>
      </w:r>
      <w:r>
        <w:rPr>
          <w:rFonts w:hAnsi="宋体"/>
          <w:sz w:val="24"/>
          <w:szCs w:val="24"/>
        </w:rPr>
        <w:t>》条款中的不可抗力因素，双方应调整本</w:t>
      </w:r>
      <w:r>
        <w:rPr>
          <w:rFonts w:hint="eastAsia" w:hAnsi="宋体"/>
          <w:sz w:val="24"/>
          <w:szCs w:val="24"/>
        </w:rPr>
        <w:t>合同</w:t>
      </w:r>
      <w:r>
        <w:rPr>
          <w:rFonts w:hAnsi="宋体"/>
          <w:sz w:val="24"/>
          <w:szCs w:val="24"/>
        </w:rPr>
        <w:t>内容或终止本</w:t>
      </w:r>
      <w:r>
        <w:rPr>
          <w:rFonts w:hint="eastAsia" w:hAnsi="宋体"/>
          <w:sz w:val="24"/>
          <w:szCs w:val="24"/>
        </w:rPr>
        <w:t>合同</w:t>
      </w:r>
      <w:r>
        <w:rPr>
          <w:rFonts w:hAnsi="宋体"/>
          <w:sz w:val="24"/>
          <w:szCs w:val="24"/>
        </w:rPr>
        <w:t>。</w:t>
      </w:r>
    </w:p>
    <w:p w14:paraId="3CEB1D47">
      <w:pPr>
        <w:pStyle w:val="3"/>
        <w:adjustRightInd w:val="0"/>
        <w:snapToGrid w:val="0"/>
        <w:spacing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第</w:t>
      </w:r>
      <w:r>
        <w:rPr>
          <w:rFonts w:hint="eastAsia" w:ascii="黑体" w:hAnsi="黑体" w:eastAsia="黑体"/>
          <w:sz w:val="24"/>
          <w:szCs w:val="24"/>
        </w:rPr>
        <w:t>六</w:t>
      </w:r>
      <w:r>
        <w:rPr>
          <w:rFonts w:ascii="黑体" w:hAnsi="黑体" w:eastAsia="黑体"/>
          <w:sz w:val="24"/>
          <w:szCs w:val="24"/>
        </w:rPr>
        <w:t>条  保密条款</w:t>
      </w:r>
    </w:p>
    <w:p w14:paraId="42EEF4D3">
      <w:pPr>
        <w:spacing w:line="360" w:lineRule="auto"/>
        <w:ind w:firstLine="420" w:firstLineChars="17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1.双方对本合同条款及所涉及的资料信息等具有保密义务，不得向第三方泄</w:t>
      </w:r>
      <w:r>
        <w:rPr>
          <w:rFonts w:hint="eastAsia" w:ascii="宋体" w:hAnsi="宋体"/>
          <w:sz w:val="24"/>
          <w:szCs w:val="24"/>
        </w:rPr>
        <w:t>露。否则，违约方应当向守约方支付违约金（本合同总金额的1</w:t>
      </w:r>
      <w:r>
        <w:rPr>
          <w:rFonts w:ascii="宋体" w:hAnsi="宋体"/>
          <w:sz w:val="24"/>
          <w:szCs w:val="24"/>
        </w:rPr>
        <w:t>0%</w:t>
      </w:r>
      <w:r>
        <w:rPr>
          <w:rFonts w:hint="eastAsia" w:ascii="宋体" w:hAnsi="宋体"/>
          <w:sz w:val="24"/>
          <w:szCs w:val="24"/>
        </w:rPr>
        <w:t>），但法律另有规定的除外。</w:t>
      </w:r>
    </w:p>
    <w:p w14:paraId="1D21DDAF">
      <w:pPr>
        <w:spacing w:line="360" w:lineRule="auto"/>
        <w:ind w:left="420" w:left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2.以上保密条款，无论本合同是否变更、解除、终止，均长期有效。</w:t>
      </w:r>
    </w:p>
    <w:p w14:paraId="7E7B2313">
      <w:pPr>
        <w:pStyle w:val="3"/>
        <w:adjustRightInd w:val="0"/>
        <w:snapToGrid w:val="0"/>
        <w:spacing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第</w:t>
      </w:r>
      <w:r>
        <w:rPr>
          <w:rFonts w:hint="eastAsia" w:ascii="黑体" w:hAnsi="黑体" w:eastAsia="黑体"/>
          <w:sz w:val="24"/>
          <w:szCs w:val="24"/>
        </w:rPr>
        <w:t>七</w:t>
      </w:r>
      <w:r>
        <w:rPr>
          <w:rFonts w:ascii="黑体" w:hAnsi="黑体" w:eastAsia="黑体"/>
          <w:sz w:val="24"/>
          <w:szCs w:val="24"/>
        </w:rPr>
        <w:t>条  协议的变更</w:t>
      </w:r>
    </w:p>
    <w:p w14:paraId="7C166F4F">
      <w:pPr>
        <w:pStyle w:val="3"/>
        <w:adjustRightInd w:val="0"/>
        <w:snapToGrid w:val="0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甲乙任何一方在</w:t>
      </w:r>
      <w:r>
        <w:rPr>
          <w:rFonts w:hint="eastAsia" w:hAnsi="宋体"/>
          <w:sz w:val="24"/>
          <w:szCs w:val="24"/>
        </w:rPr>
        <w:t>合同</w:t>
      </w:r>
      <w:r>
        <w:rPr>
          <w:rFonts w:hAnsi="宋体"/>
          <w:sz w:val="24"/>
          <w:szCs w:val="24"/>
        </w:rPr>
        <w:t>期内发生所有权或者管理权的变更</w:t>
      </w:r>
      <w:r>
        <w:rPr>
          <w:rFonts w:hint="eastAsia" w:hAnsi="宋体"/>
          <w:sz w:val="24"/>
          <w:szCs w:val="24"/>
        </w:rPr>
        <w:t>，</w:t>
      </w:r>
      <w:r>
        <w:rPr>
          <w:rFonts w:hAnsi="宋体"/>
          <w:sz w:val="24"/>
          <w:szCs w:val="24"/>
        </w:rPr>
        <w:t>影响该协议的履行时，变更的一方应在变更前</w:t>
      </w:r>
      <w:r>
        <w:rPr>
          <w:rFonts w:hint="eastAsia" w:hAnsi="宋体"/>
          <w:sz w:val="24"/>
          <w:szCs w:val="24"/>
        </w:rPr>
        <w:t>三</w:t>
      </w:r>
      <w:r>
        <w:rPr>
          <w:rFonts w:hAnsi="宋体"/>
          <w:sz w:val="24"/>
          <w:szCs w:val="24"/>
        </w:rPr>
        <w:t>十天内书面通知对方，并及时向所有权或管理权受让方移交本</w:t>
      </w:r>
      <w:r>
        <w:rPr>
          <w:rFonts w:hint="eastAsia" w:hAnsi="宋体"/>
          <w:sz w:val="24"/>
          <w:szCs w:val="24"/>
        </w:rPr>
        <w:t>合同</w:t>
      </w:r>
      <w:r>
        <w:rPr>
          <w:rFonts w:hAnsi="宋体"/>
          <w:sz w:val="24"/>
          <w:szCs w:val="24"/>
        </w:rPr>
        <w:t>，以继续履行本</w:t>
      </w:r>
      <w:r>
        <w:rPr>
          <w:rFonts w:hint="eastAsia" w:hAnsi="宋体"/>
          <w:sz w:val="24"/>
          <w:szCs w:val="24"/>
        </w:rPr>
        <w:t>合同</w:t>
      </w:r>
      <w:r>
        <w:rPr>
          <w:rFonts w:hAnsi="宋体"/>
          <w:sz w:val="24"/>
          <w:szCs w:val="24"/>
        </w:rPr>
        <w:t>条款。</w:t>
      </w:r>
    </w:p>
    <w:p w14:paraId="7D9F7F93">
      <w:pPr>
        <w:pStyle w:val="3"/>
        <w:adjustRightInd w:val="0"/>
        <w:snapToGrid w:val="0"/>
        <w:spacing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第</w:t>
      </w:r>
      <w:r>
        <w:rPr>
          <w:rFonts w:hint="eastAsia" w:ascii="黑体" w:hAnsi="黑体" w:eastAsia="黑体"/>
          <w:sz w:val="24"/>
          <w:szCs w:val="24"/>
        </w:rPr>
        <w:t>八</w:t>
      </w:r>
      <w:r>
        <w:rPr>
          <w:rFonts w:ascii="黑体" w:hAnsi="黑体" w:eastAsia="黑体"/>
          <w:sz w:val="24"/>
          <w:szCs w:val="24"/>
        </w:rPr>
        <w:t>条  争议的解决</w:t>
      </w:r>
    </w:p>
    <w:p w14:paraId="05FC843D">
      <w:pPr>
        <w:pStyle w:val="3"/>
        <w:adjustRightInd w:val="0"/>
        <w:snapToGrid w:val="0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双方在</w:t>
      </w:r>
      <w:r>
        <w:rPr>
          <w:rFonts w:hint="eastAsia" w:hAnsi="宋体"/>
          <w:sz w:val="24"/>
          <w:szCs w:val="24"/>
        </w:rPr>
        <w:t>合同</w:t>
      </w:r>
      <w:r>
        <w:rPr>
          <w:rFonts w:hAnsi="宋体"/>
          <w:sz w:val="24"/>
          <w:szCs w:val="24"/>
        </w:rPr>
        <w:t>执行过程中所发生一切争议，双方应协商解决。协商未果，任何一方均可向甲方所在地</w:t>
      </w:r>
      <w:r>
        <w:rPr>
          <w:rFonts w:hint="eastAsia" w:hAnsi="宋体"/>
          <w:sz w:val="24"/>
          <w:szCs w:val="24"/>
        </w:rPr>
        <w:t>有管辖权之</w:t>
      </w:r>
      <w:r>
        <w:rPr>
          <w:rFonts w:hAnsi="宋体"/>
          <w:sz w:val="24"/>
          <w:szCs w:val="24"/>
        </w:rPr>
        <w:t>法院</w:t>
      </w:r>
      <w:r>
        <w:rPr>
          <w:rFonts w:hint="eastAsia" w:hAnsi="宋体"/>
          <w:sz w:val="24"/>
          <w:szCs w:val="24"/>
        </w:rPr>
        <w:t>提起诉讼。</w:t>
      </w:r>
    </w:p>
    <w:p w14:paraId="47A02D32">
      <w:pPr>
        <w:pStyle w:val="3"/>
        <w:adjustRightInd w:val="0"/>
        <w:snapToGrid w:val="0"/>
        <w:spacing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第</w:t>
      </w:r>
      <w:r>
        <w:rPr>
          <w:rFonts w:hint="eastAsia" w:ascii="黑体" w:hAnsi="黑体" w:eastAsia="黑体"/>
          <w:sz w:val="24"/>
          <w:szCs w:val="24"/>
        </w:rPr>
        <w:t>九</w:t>
      </w:r>
      <w:r>
        <w:rPr>
          <w:rFonts w:ascii="黑体" w:hAnsi="黑体" w:eastAsia="黑体"/>
          <w:sz w:val="24"/>
          <w:szCs w:val="24"/>
        </w:rPr>
        <w:t xml:space="preserve">条  </w:t>
      </w:r>
      <w:r>
        <w:rPr>
          <w:rFonts w:hint="eastAsia" w:ascii="黑体" w:hAnsi="黑体" w:eastAsia="黑体"/>
          <w:sz w:val="24"/>
          <w:szCs w:val="24"/>
        </w:rPr>
        <w:t>其他</w:t>
      </w:r>
    </w:p>
    <w:p w14:paraId="7A64FA56">
      <w:pPr>
        <w:spacing w:line="360" w:lineRule="auto"/>
        <w:ind w:firstLine="477" w:firstLineChars="199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</w:t>
      </w:r>
      <w:r>
        <w:rPr>
          <w:rFonts w:hint="eastAsia" w:hAnsi="宋体"/>
          <w:sz w:val="24"/>
          <w:lang w:val="en-US" w:eastAsia="zh-CN"/>
        </w:rPr>
        <w:t>.</w:t>
      </w:r>
      <w:r>
        <w:rPr>
          <w:rFonts w:hint="eastAsia" w:hAnsi="宋体"/>
          <w:sz w:val="24"/>
        </w:rPr>
        <w:t>在合同实施过程如双方出现争议，物资清单、技术参数、系统功能要求、甲方招标文件、乙方投标文件等均作为解决争议的参考文件，与本合同具有同等法律效力。</w:t>
      </w:r>
    </w:p>
    <w:p w14:paraId="4A712278">
      <w:pPr>
        <w:spacing w:line="360" w:lineRule="auto"/>
        <w:ind w:firstLine="477" w:firstLineChars="199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</w:t>
      </w:r>
      <w:r>
        <w:rPr>
          <w:rFonts w:hint="eastAsia" w:hAnsi="宋体"/>
          <w:sz w:val="24"/>
          <w:lang w:val="en-US" w:eastAsia="zh-CN"/>
        </w:rPr>
        <w:t>.</w:t>
      </w:r>
      <w:r>
        <w:rPr>
          <w:rFonts w:hAnsi="宋体"/>
          <w:sz w:val="24"/>
        </w:rPr>
        <w:t>以上</w:t>
      </w:r>
      <w:r>
        <w:rPr>
          <w:rFonts w:hint="eastAsia" w:hAnsi="宋体"/>
          <w:sz w:val="24"/>
        </w:rPr>
        <w:t>条款</w:t>
      </w:r>
      <w:r>
        <w:rPr>
          <w:rFonts w:hAnsi="宋体"/>
          <w:sz w:val="24"/>
        </w:rPr>
        <w:t>甲乙双方均不得违反，未尽事宜由双方代表协商签订补充协议。补充协议与此</w:t>
      </w:r>
      <w:r>
        <w:rPr>
          <w:rFonts w:hint="eastAsia" w:hAnsi="宋体"/>
          <w:sz w:val="24"/>
        </w:rPr>
        <w:t>合同</w:t>
      </w:r>
      <w:r>
        <w:rPr>
          <w:rFonts w:hAnsi="宋体"/>
          <w:sz w:val="24"/>
        </w:rPr>
        <w:t>具有相同的法律效力。</w:t>
      </w:r>
    </w:p>
    <w:p w14:paraId="0BD47AEC">
      <w:pPr>
        <w:spacing w:line="360" w:lineRule="auto"/>
        <w:ind w:firstLine="477" w:firstLineChars="199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3.</w:t>
      </w:r>
      <w:r>
        <w:rPr>
          <w:rFonts w:hAnsi="宋体"/>
          <w:sz w:val="24"/>
        </w:rPr>
        <w:t>本</w:t>
      </w:r>
      <w:r>
        <w:rPr>
          <w:rFonts w:hint="eastAsia" w:hAnsi="宋体"/>
          <w:sz w:val="24"/>
        </w:rPr>
        <w:t>合同</w:t>
      </w:r>
      <w:r>
        <w:rPr>
          <w:rFonts w:hAnsi="宋体"/>
          <w:sz w:val="24"/>
        </w:rPr>
        <w:t>不得以任何方式转包或分包给其他经营者。如有弄虚作假，一经查实，甲方有权终止</w:t>
      </w:r>
      <w:r>
        <w:rPr>
          <w:rFonts w:hint="eastAsia" w:hAnsi="宋体"/>
          <w:sz w:val="24"/>
        </w:rPr>
        <w:t>合同</w:t>
      </w:r>
      <w:r>
        <w:rPr>
          <w:rFonts w:hAnsi="宋体"/>
          <w:sz w:val="24"/>
        </w:rPr>
        <w:t>，并且取消乙方参加甲方下一年度图书采购招标资格。</w:t>
      </w:r>
    </w:p>
    <w:p w14:paraId="086B3306">
      <w:pPr>
        <w:spacing w:line="360" w:lineRule="auto"/>
        <w:ind w:firstLine="477" w:firstLineChars="199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4.</w:t>
      </w:r>
      <w:r>
        <w:rPr>
          <w:rFonts w:hint="eastAsia" w:hAnsi="宋体"/>
          <w:sz w:val="24"/>
        </w:rPr>
        <w:t>合同</w:t>
      </w:r>
      <w:r>
        <w:rPr>
          <w:rFonts w:hAnsi="宋体"/>
          <w:sz w:val="24"/>
        </w:rPr>
        <w:t>壹式</w:t>
      </w:r>
      <w:r>
        <w:rPr>
          <w:rFonts w:hint="eastAsia" w:hAnsi="宋体"/>
          <w:sz w:val="24"/>
        </w:rPr>
        <w:t>陆</w:t>
      </w:r>
      <w:r>
        <w:rPr>
          <w:rFonts w:hAnsi="宋体"/>
          <w:sz w:val="24"/>
        </w:rPr>
        <w:t>份，</w:t>
      </w:r>
      <w:r>
        <w:rPr>
          <w:rFonts w:hint="eastAsia" w:hAnsi="宋体"/>
          <w:sz w:val="24"/>
        </w:rPr>
        <w:t>甲</w:t>
      </w:r>
      <w:r>
        <w:rPr>
          <w:rFonts w:hAnsi="宋体"/>
          <w:sz w:val="24"/>
        </w:rPr>
        <w:t>方</w:t>
      </w:r>
      <w:r>
        <w:rPr>
          <w:rFonts w:hint="eastAsia" w:hAnsi="宋体"/>
          <w:sz w:val="24"/>
        </w:rPr>
        <w:t>执肆份，乙方</w:t>
      </w:r>
      <w:r>
        <w:rPr>
          <w:rFonts w:hAnsi="宋体"/>
          <w:sz w:val="24"/>
        </w:rPr>
        <w:t>执贰份。自双方</w:t>
      </w:r>
      <w:r>
        <w:rPr>
          <w:rFonts w:hint="eastAsia" w:hAnsi="宋体"/>
          <w:sz w:val="24"/>
        </w:rPr>
        <w:t>授权</w:t>
      </w:r>
      <w:r>
        <w:rPr>
          <w:rFonts w:hAnsi="宋体"/>
          <w:sz w:val="24"/>
        </w:rPr>
        <w:t>代表签字并加盖公章</w:t>
      </w:r>
      <w:r>
        <w:rPr>
          <w:rFonts w:hint="eastAsia" w:hAnsi="宋体"/>
          <w:sz w:val="24"/>
        </w:rPr>
        <w:t>后</w:t>
      </w:r>
      <w:r>
        <w:rPr>
          <w:rFonts w:hAnsi="宋体"/>
          <w:sz w:val="24"/>
        </w:rPr>
        <w:t>生效。</w:t>
      </w:r>
    </w:p>
    <w:tbl>
      <w:tblPr>
        <w:tblStyle w:val="4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0"/>
        <w:gridCol w:w="5183"/>
      </w:tblGrid>
      <w:tr w14:paraId="6FCE05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4360" w:type="dxa"/>
            <w:noWrap w:val="0"/>
            <w:vAlign w:val="top"/>
          </w:tcPr>
          <w:p w14:paraId="171C6C98">
            <w:pPr>
              <w:spacing w:line="480" w:lineRule="exact"/>
              <w:jc w:val="left"/>
              <w:rPr>
                <w:rFonts w:hint="eastAsia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需方（甲方）：</w:t>
            </w:r>
            <w:r>
              <w:rPr>
                <w:rFonts w:hint="eastAsia" w:hAnsi="宋体" w:cs="宋体"/>
                <w:b/>
                <w:bCs/>
                <w:sz w:val="24"/>
                <w:lang w:eastAsia="zh-CN"/>
              </w:rPr>
              <w:t>陕西财经职业技术学院</w:t>
            </w:r>
          </w:p>
        </w:tc>
        <w:tc>
          <w:tcPr>
            <w:tcW w:w="5183" w:type="dxa"/>
            <w:noWrap w:val="0"/>
            <w:vAlign w:val="top"/>
          </w:tcPr>
          <w:p w14:paraId="22FB0A2E">
            <w:pPr>
              <w:spacing w:line="48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供方（乙方）：</w:t>
            </w:r>
            <w:r>
              <w:rPr>
                <w:b/>
                <w:bCs/>
                <w:sz w:val="24"/>
              </w:rPr>
              <w:t xml:space="preserve"> </w:t>
            </w:r>
          </w:p>
        </w:tc>
      </w:tr>
      <w:tr w14:paraId="36DB1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4360" w:type="dxa"/>
            <w:noWrap w:val="0"/>
            <w:vAlign w:val="center"/>
          </w:tcPr>
          <w:p w14:paraId="106581D3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（盖章）</w:t>
            </w:r>
          </w:p>
        </w:tc>
        <w:tc>
          <w:tcPr>
            <w:tcW w:w="5183" w:type="dxa"/>
            <w:noWrap w:val="0"/>
            <w:vAlign w:val="center"/>
          </w:tcPr>
          <w:p w14:paraId="2430CA54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（盖章）</w:t>
            </w:r>
          </w:p>
        </w:tc>
      </w:tr>
      <w:tr w14:paraId="220261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4360" w:type="dxa"/>
            <w:noWrap w:val="0"/>
            <w:vAlign w:val="top"/>
          </w:tcPr>
          <w:p w14:paraId="7AF540EE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授权代表：</w:t>
            </w:r>
            <w:r>
              <w:rPr>
                <w:rFonts w:hAnsi="宋体" w:cs="宋体"/>
                <w:sz w:val="24"/>
              </w:rPr>
              <w:t xml:space="preserve"> </w:t>
            </w:r>
          </w:p>
        </w:tc>
        <w:tc>
          <w:tcPr>
            <w:tcW w:w="5183" w:type="dxa"/>
            <w:noWrap w:val="0"/>
            <w:vAlign w:val="top"/>
          </w:tcPr>
          <w:p w14:paraId="284756AC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授权代表：</w:t>
            </w:r>
            <w:r>
              <w:rPr>
                <w:rFonts w:hAnsi="宋体" w:cs="宋体"/>
                <w:sz w:val="24"/>
              </w:rPr>
              <w:t xml:space="preserve"> </w:t>
            </w:r>
          </w:p>
        </w:tc>
      </w:tr>
      <w:tr w14:paraId="70FE0E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4360" w:type="dxa"/>
            <w:noWrap w:val="0"/>
            <w:vAlign w:val="center"/>
          </w:tcPr>
          <w:p w14:paraId="7D10DE66">
            <w:pPr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电话：</w:t>
            </w:r>
          </w:p>
        </w:tc>
        <w:tc>
          <w:tcPr>
            <w:tcW w:w="5183" w:type="dxa"/>
            <w:noWrap w:val="0"/>
            <w:vAlign w:val="center"/>
          </w:tcPr>
          <w:p w14:paraId="69FDCC24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电话：</w:t>
            </w:r>
          </w:p>
        </w:tc>
      </w:tr>
      <w:tr w14:paraId="5E4CC6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4360" w:type="dxa"/>
            <w:noWrap w:val="0"/>
            <w:vAlign w:val="center"/>
          </w:tcPr>
          <w:p w14:paraId="1C7D4B95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开户银行：</w:t>
            </w:r>
          </w:p>
        </w:tc>
        <w:tc>
          <w:tcPr>
            <w:tcW w:w="5183" w:type="dxa"/>
            <w:noWrap w:val="0"/>
            <w:vAlign w:val="center"/>
          </w:tcPr>
          <w:p w14:paraId="768F5FE4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 xml:space="preserve">开户银行： </w:t>
            </w:r>
            <w:r>
              <w:rPr>
                <w:rFonts w:hAnsi="宋体" w:cs="宋体"/>
                <w:sz w:val="24"/>
              </w:rPr>
              <w:t xml:space="preserve"> </w:t>
            </w:r>
          </w:p>
        </w:tc>
      </w:tr>
      <w:tr w14:paraId="25EA5F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360" w:type="dxa"/>
            <w:noWrap w:val="0"/>
            <w:vAlign w:val="center"/>
          </w:tcPr>
          <w:p w14:paraId="577AD923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账号：</w:t>
            </w:r>
          </w:p>
        </w:tc>
        <w:tc>
          <w:tcPr>
            <w:tcW w:w="5183" w:type="dxa"/>
            <w:noWrap w:val="0"/>
            <w:vAlign w:val="center"/>
          </w:tcPr>
          <w:p w14:paraId="2C04EFD3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账号：</w:t>
            </w:r>
          </w:p>
        </w:tc>
      </w:tr>
      <w:tr w14:paraId="469F6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4360" w:type="dxa"/>
            <w:noWrap w:val="0"/>
            <w:vAlign w:val="center"/>
          </w:tcPr>
          <w:p w14:paraId="2C467D27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纳税人识别号：</w:t>
            </w:r>
          </w:p>
        </w:tc>
        <w:tc>
          <w:tcPr>
            <w:tcW w:w="5183" w:type="dxa"/>
            <w:noWrap w:val="0"/>
            <w:vAlign w:val="center"/>
          </w:tcPr>
          <w:p w14:paraId="18348CB4">
            <w:pPr>
              <w:spacing w:line="4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 w:hAnsi="宋体" w:cs="宋体"/>
                <w:sz w:val="24"/>
              </w:rPr>
              <w:t>纳税人识别号：</w:t>
            </w:r>
          </w:p>
        </w:tc>
      </w:tr>
      <w:tr w14:paraId="7AA0C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4360" w:type="dxa"/>
            <w:noWrap w:val="0"/>
            <w:vAlign w:val="top"/>
          </w:tcPr>
          <w:p w14:paraId="55BB557D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地址：</w:t>
            </w:r>
          </w:p>
        </w:tc>
        <w:tc>
          <w:tcPr>
            <w:tcW w:w="5183" w:type="dxa"/>
            <w:noWrap w:val="0"/>
            <w:vAlign w:val="top"/>
          </w:tcPr>
          <w:p w14:paraId="1120A94C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地址：</w:t>
            </w:r>
            <w:r>
              <w:rPr>
                <w:sz w:val="24"/>
              </w:rPr>
              <w:t xml:space="preserve"> </w:t>
            </w:r>
          </w:p>
        </w:tc>
      </w:tr>
      <w:tr w14:paraId="5B1EB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4360" w:type="dxa"/>
            <w:noWrap w:val="0"/>
            <w:vAlign w:val="center"/>
          </w:tcPr>
          <w:p w14:paraId="0BC23B92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日期：</w:t>
            </w:r>
            <w:r>
              <w:rPr>
                <w:rFonts w:hAnsi="宋体" w:cs="宋体"/>
                <w:sz w:val="24"/>
              </w:rPr>
              <w:t xml:space="preserve">       </w:t>
            </w:r>
            <w:r>
              <w:rPr>
                <w:rFonts w:hint="eastAsia" w:hAnsi="宋体" w:cs="宋体"/>
                <w:sz w:val="24"/>
              </w:rPr>
              <w:t>年</w:t>
            </w:r>
            <w:r>
              <w:rPr>
                <w:rFonts w:hAnsi="宋体" w:cs="宋体"/>
                <w:sz w:val="24"/>
              </w:rPr>
              <w:t xml:space="preserve">    </w:t>
            </w:r>
            <w:r>
              <w:rPr>
                <w:rFonts w:hint="eastAsia" w:hAnsi="宋体" w:cs="宋体"/>
                <w:sz w:val="24"/>
              </w:rPr>
              <w:t>月</w:t>
            </w:r>
            <w:r>
              <w:rPr>
                <w:rFonts w:hAnsi="宋体" w:cs="宋体"/>
                <w:sz w:val="24"/>
              </w:rPr>
              <w:t xml:space="preserve">    </w:t>
            </w:r>
            <w:r>
              <w:rPr>
                <w:rFonts w:hint="eastAsia" w:hAnsi="宋体" w:cs="宋体"/>
                <w:sz w:val="24"/>
              </w:rPr>
              <w:t>日</w:t>
            </w:r>
          </w:p>
        </w:tc>
        <w:tc>
          <w:tcPr>
            <w:tcW w:w="5183" w:type="dxa"/>
            <w:noWrap w:val="0"/>
            <w:vAlign w:val="center"/>
          </w:tcPr>
          <w:p w14:paraId="3AA5511C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日期：</w:t>
            </w:r>
            <w:r>
              <w:rPr>
                <w:rFonts w:hAnsi="宋体" w:cs="宋体"/>
                <w:sz w:val="24"/>
              </w:rPr>
              <w:t xml:space="preserve">        </w:t>
            </w:r>
            <w:r>
              <w:rPr>
                <w:rFonts w:hint="eastAsia" w:hAnsi="宋体" w:cs="宋体"/>
                <w:sz w:val="24"/>
              </w:rPr>
              <w:t>年</w:t>
            </w:r>
            <w:r>
              <w:rPr>
                <w:rFonts w:hAnsi="宋体" w:cs="宋体"/>
                <w:sz w:val="24"/>
              </w:rPr>
              <w:t xml:space="preserve">    </w:t>
            </w:r>
            <w:r>
              <w:rPr>
                <w:rFonts w:hint="eastAsia" w:hAnsi="宋体" w:cs="宋体"/>
                <w:sz w:val="24"/>
              </w:rPr>
              <w:t>月</w:t>
            </w:r>
            <w:r>
              <w:rPr>
                <w:rFonts w:hAnsi="宋体" w:cs="宋体"/>
                <w:sz w:val="24"/>
              </w:rPr>
              <w:t xml:space="preserve">    </w:t>
            </w:r>
            <w:r>
              <w:rPr>
                <w:rFonts w:hint="eastAsia" w:hAnsi="宋体" w:cs="宋体"/>
                <w:sz w:val="24"/>
              </w:rPr>
              <w:t>日</w:t>
            </w:r>
          </w:p>
        </w:tc>
      </w:tr>
    </w:tbl>
    <w:p w14:paraId="495057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BF2370"/>
    <w:rsid w:val="022D4A9D"/>
    <w:rsid w:val="32EC2593"/>
    <w:rsid w:val="54552F7C"/>
    <w:rsid w:val="6AD01849"/>
    <w:rsid w:val="78BF2370"/>
    <w:rsid w:val="7923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kern w:val="0"/>
      <w:sz w:val="20"/>
      <w:szCs w:val="20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character" w:customStyle="1" w:styleId="6">
    <w:name w:val="NormalCharacter"/>
    <w:qFormat/>
    <w:uiPriority w:val="0"/>
  </w:style>
  <w:style w:type="paragraph" w:styleId="7">
    <w:name w:val="List Paragraph"/>
    <w:basedOn w:val="1"/>
    <w:unhideWhenUsed/>
    <w:qFormat/>
    <w:uiPriority w:val="34"/>
    <w:pPr>
      <w:ind w:firstLine="420" w:firstLineChars="200"/>
    </w:pPr>
    <w:rPr>
      <w:rFonts w:ascii="Times New Roman" w:hAnsi="Times New Roman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2735</Words>
  <Characters>2818</Characters>
  <Lines>0</Lines>
  <Paragraphs>0</Paragraphs>
  <TotalTime>0</TotalTime>
  <ScaleCrop>false</ScaleCrop>
  <LinksUpToDate>false</LinksUpToDate>
  <CharactersWithSpaces>2881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2026-04-21T07:10:00Z</dcterms:created>
  <dc:creator>侯@_@!</dc:creator>
  <cp:lastModifiedBy>卓佲</cp:lastModifiedBy>
  <dcterms:modified xsi:type="dcterms:W3CDTF">2026-04-21T09:13:55Z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8A3988BE5AD74459813AA25ACE6129E0_11</vt:lpwstr>
  </property>
  <property fmtid="{D5CDD505-2E9C-101B-9397-08002B2CF9AE}" pid="4" name="KSOTemplateDocerSaveRecord">
    <vt:lpwstr>eyJoZGlkIjoiZGE3NGIyMjdiOTUyMzM5NDlmZDE3ZTcwNGFkOTdiYzAiLCJ1c2VySWQiOiIyMzUwOTcyMzUifQ==</vt:lpwstr>
  </property>
</Properties>
</file>