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版本号：XBMH2026-06520260421001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2026年高速公路韧性提升工程交工核验检测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XBMH2026-065</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2026年高速公路韧性提升工程交工核验检测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XBMH2026-065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2026年高速公路韧性提升工程交工核验检测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陕西省交通运输工程质量检测鉴定站2026年陕西省高速公路韧性提升工程交工核验检测，1批。 采购包1：京昆高速西安至陕川界安全韧性提升工程交工核验检测； 采购包2：福银高速西安至陕鄂界安全韧性提升工程交工核验检测交工核验检测； 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采购包1（京昆高速西安至陕川界安全韧性提升工程交工核验检测）：属于专门面向中小企业采购。</w:t>
      </w:r>
    </w:p>
    <w:p>
      <w:pPr>
        <w:pStyle w:val="null3"/>
      </w:pPr>
      <w:r>
        <w:rPr>
          <w:rFonts w:ascii="仿宋_GB2312" w:hAnsi="仿宋_GB2312" w:cs="仿宋_GB2312" w:eastAsia="仿宋_GB2312"/>
        </w:rPr>
        <w:t>采购包2（福银高速西安至陕鄂界安全韧性提升工程交工核验检测）：属于专门面向中小企业采购。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3、依法缴纳税收和社会保障资金：提供磋商截止时间前6个月内任意时段已缴纳的纳税证明或完税证明和已缴存的社会保障资金缴费证明或参保证明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9、投标供应商资质：具备公路工程甲级资质证书或公路工程综合甲级等级证书。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10、项目负责人：具有相关专业高级或以上技术职称；持有交通运输部颁发的试验检测工程师证书；担任过新建或改扩建高速公路项目韧性提升交工核验或竣工验收质量检测服务项目的项目负责人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韧性提升交工核验或竣工验收质量检测服务项目的技术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3、依法缴纳税收和社会保障资金：提供磋商截止时间前6个月内任意时段已缴纳的纳税证明或完税证明和已缴存的社会保障资金缴费证明或参保证明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pPr>
        <w:pStyle w:val="null3"/>
      </w:pPr>
      <w:r>
        <w:rPr>
          <w:rFonts w:ascii="仿宋_GB2312" w:hAnsi="仿宋_GB2312" w:cs="仿宋_GB2312" w:eastAsia="仿宋_GB2312"/>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pPr>
        <w:pStyle w:val="null3"/>
      </w:pPr>
      <w:r>
        <w:rPr>
          <w:rFonts w:ascii="仿宋_GB2312" w:hAnsi="仿宋_GB2312" w:cs="仿宋_GB2312" w:eastAsia="仿宋_GB2312"/>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pPr>
        <w:pStyle w:val="null3"/>
      </w:pPr>
      <w:r>
        <w:rPr>
          <w:rFonts w:ascii="仿宋_GB2312" w:hAnsi="仿宋_GB2312" w:cs="仿宋_GB2312" w:eastAsia="仿宋_GB2312"/>
        </w:rPr>
        <w:t>9、投标供应商资质：具备公路工程甲级资质证书或公路工程综合甲级等级证书。</w:t>
      </w:r>
    </w:p>
    <w:p>
      <w:pPr>
        <w:pStyle w:val="null3"/>
      </w:pPr>
      <w:r>
        <w:rPr>
          <w:rFonts w:ascii="仿宋_GB2312" w:hAnsi="仿宋_GB2312" w:cs="仿宋_GB2312" w:eastAsia="仿宋_GB2312"/>
        </w:rPr>
        <w:t>10、项目负责人：具有相关专业高级或以上技术职称；持有交通运输部颁发的试验检测工程师证书；担任过新建或改扩建高速公路项目韧性提升交工核验或竣工验收质量检测服务项目的项目负责人</w:t>
      </w:r>
    </w:p>
    <w:p>
      <w:pPr>
        <w:pStyle w:val="null3"/>
      </w:pPr>
      <w:r>
        <w:rPr>
          <w:rFonts w:ascii="仿宋_GB2312" w:hAnsi="仿宋_GB2312" w:cs="仿宋_GB2312" w:eastAsia="仿宋_GB2312"/>
        </w:rPr>
        <w:t>11、技术负责人：具有相关专业高级或以上技术职称；持有交通运输部颁发的试验检测工程师证书（应满足道路工程、桥梁隧道工程、交通工程三项中任意两项）；担任过新建或改扩建高速公路项目韧性提升交工核验或竣工验收质量检测服务项目的技术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陕西省西安市唐延路3号唐延国际中心AB区8楼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采购包1：709,000.00元</w:t>
            </w:r>
          </w:p>
          <w:p>
            <w:pPr>
              <w:pStyle w:val="null3"/>
            </w:pPr>
            <w:r>
              <w:rPr>
                <w:rFonts w:ascii="仿宋_GB2312" w:hAnsi="仿宋_GB2312" w:cs="仿宋_GB2312" w:eastAsia="仿宋_GB2312"/>
              </w:rPr>
              <w:t>采购包2：392,000.00元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 （计价格【2002】1980号）及《国家发改委关于降低部分建设项目收费标准规范收费行为等有关问题的通知》（发改价格[2011]534号）规定标准的 80% 收取，不足5000.00元的按5000.00元收取。取费基数为各标包成交金额。 2.采购人指定的代理服务费缴纳账户信息如下： 银行户名：陕西西北民航工程咨询有限公司 开户行名称：中国建设银行股份有限公司西安高新科技支行 账 号：61001925700052502533 行 号：105791011313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踏勘时间：2026-04-30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踏勘时间：2026-04-30 10:00:00</w:t>
            </w:r>
          </w:p>
          <w:p>
            <w:pPr>
              <w:pStyle w:val="null3"/>
              <w:ind w:firstLine="975"/>
            </w:pPr>
            <w:r>
              <w:rPr>
                <w:rFonts w:ascii="仿宋_GB2312" w:hAnsi="仿宋_GB2312" w:cs="仿宋_GB2312" w:eastAsia="仿宋_GB2312"/>
              </w:rPr>
              <w:t>踏勘地点：因本项目情况复杂，供应商如需进行考察现场请联系代理机构，如因未参加现场考察，导致本项目在后期实施过程中产生的不良后果，由供应商自行承担 。</w:t>
            </w:r>
          </w:p>
          <w:p>
            <w:pPr>
              <w:pStyle w:val="null3"/>
              <w:ind w:firstLine="975"/>
            </w:pPr>
            <w:r>
              <w:rPr>
                <w:rFonts w:ascii="仿宋_GB2312" w:hAnsi="仿宋_GB2312" w:cs="仿宋_GB2312" w:eastAsia="仿宋_GB2312"/>
              </w:rPr>
              <w:t>联系人：佘冰霞</w:t>
            </w:r>
          </w:p>
          <w:p>
            <w:pPr>
              <w:pStyle w:val="null3"/>
              <w:ind w:firstLine="975"/>
            </w:pPr>
            <w:r>
              <w:rPr>
                <w:rFonts w:ascii="仿宋_GB2312" w:hAnsi="仿宋_GB2312" w:cs="仿宋_GB2312" w:eastAsia="仿宋_GB2312"/>
              </w:rPr>
              <w:t>联系电话号码：029-88347987-8046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陕西省交通运输工程质量检测鉴定站2026年陕西省高速公路韧性提升工程交工核验检测，1批。 采购包1：京昆高速西安至陕川界（筒车湾至棋盘关段）安全韧性提升工程； 采购包2：福银高速西安至陕鄂界安全韧性提升工程交工核验检测；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709,000.00</w:t>
      </w:r>
    </w:p>
    <w:p>
      <w:pPr>
        <w:pStyle w:val="null3"/>
      </w:pPr>
      <w:r>
        <w:rPr>
          <w:rFonts w:ascii="仿宋_GB2312" w:hAnsi="仿宋_GB2312" w:cs="仿宋_GB2312" w:eastAsia="仿宋_GB2312"/>
        </w:rPr>
        <w:t>采购包最高限价（元）: 709,000.00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1包京昆高速西安至陕川界安全韧性提升工程交工核验检测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709,000.00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392,000.00</w:t>
      </w:r>
    </w:p>
    <w:p>
      <w:pPr>
        <w:pStyle w:val="null3"/>
      </w:pPr>
      <w:r>
        <w:rPr>
          <w:rFonts w:ascii="仿宋_GB2312" w:hAnsi="仿宋_GB2312" w:cs="仿宋_GB2312" w:eastAsia="仿宋_GB2312"/>
        </w:rPr>
        <w:t>采购包最高限价（元）: 392,000.00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2包福银高速西安至陕鄂界安全韧性提升工程交工核验检测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392,000.00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标的名称：1包京昆高速西安至陕川界安全韧性提升工程交工核验检测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1、</w:t>
            </w:r>
            <w:r>
              <w:rPr>
                <w:rFonts w:ascii="仿宋_GB2312" w:hAnsi="仿宋_GB2312" w:cs="仿宋_GB2312" w:eastAsia="仿宋_GB2312"/>
                <w:b/>
              </w:rPr>
              <w:t>项目概况</w:t>
            </w:r>
          </w:p>
          <w:p>
            <w:pPr>
              <w:pStyle w:val="null3"/>
              <w:ind w:firstLine="400"/>
              <w:jc w:val="both"/>
            </w:pPr>
            <w:r>
              <w:rPr>
                <w:rFonts w:ascii="仿宋_GB2312" w:hAnsi="仿宋_GB2312" w:cs="仿宋_GB2312" w:eastAsia="仿宋_GB2312"/>
                <w:sz w:val="20"/>
              </w:rPr>
              <w:t>G5京昆高速西安至陕川界段是国家高速网络中贯通南北、承东启西的重要大动脉，建设年代早，重载交通占比高，随着水文、地质、气象等外部环境发生较大的不利变化，存在重大自然灾害风险、突发事件风险、构造物性能衰减等风险隐患，亟需提升安全韧性保障运营安全。本项目实施安全韧性提升工程，是交通运行安全提升的需要，是稳定区域交通保障与促进经济发展的需要，对提高路段抵御灾害风险能力、增强区域交通韧性、促进区域经济高质量发展等具有重要意义。</w:t>
            </w:r>
          </w:p>
          <w:p>
            <w:pPr>
              <w:pStyle w:val="null3"/>
              <w:jc w:val="left"/>
            </w:pPr>
            <w:r>
              <w:rPr>
                <w:rFonts w:ascii="仿宋_GB2312" w:hAnsi="仿宋_GB2312" w:cs="仿宋_GB2312" w:eastAsia="仿宋_GB2312"/>
                <w:b/>
              </w:rPr>
              <w:t>2、</w:t>
            </w:r>
            <w:r>
              <w:rPr>
                <w:rFonts w:ascii="仿宋_GB2312" w:hAnsi="仿宋_GB2312" w:cs="仿宋_GB2312" w:eastAsia="仿宋_GB2312"/>
                <w:b/>
              </w:rPr>
              <w:t>工程量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路线工点（单幅）</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2处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路基路面工点</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55处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桥涵工点（单幅）</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487处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98</w:t>
            </w:r>
            <w:r>
              <w:rPr>
                <w:rFonts w:ascii="仿宋_GB2312" w:hAnsi="仿宋_GB2312" w:cs="仿宋_GB2312" w:eastAsia="仿宋_GB2312"/>
                <w:sz w:val="20"/>
              </w:rPr>
              <w:t>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隧道工点（双洞）</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14处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交通安全设施工程</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272.7公里</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55</w:t>
            </w:r>
            <w:r>
              <w:rPr>
                <w:rFonts w:ascii="仿宋_GB2312" w:hAnsi="仿宋_GB2312" w:cs="仿宋_GB2312" w:eastAsia="仿宋_GB2312"/>
                <w:sz w:val="20"/>
              </w:rPr>
              <w:t>公里。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标的名称：2包福银高速西安至陕鄂界安全韧性提升工程交工核验检测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1、项目概况</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G70福银高速西安至陕鄂界段作为连通我国东南、华中与西北地区的交通大动脉，兼具承东启西、贯穿南北的重要功能。本次安全韧性提升工程主要分布在陕西省西安市、商洛市境内，路线起于西安市蓝田县席家河（桩号K1632+285），途经蓝田县、商洛市商州区、山阳县等县（区），最终止于商洛市山阳县漫川关（陕鄂界，桩号K1474+000），全线总长157.48公里，工程造价18.37亿，合同工期24个月。</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工程量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路线工点（单幅）</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路基路面工点</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117</w:t>
            </w:r>
            <w:r>
              <w:rPr>
                <w:rFonts w:ascii="仿宋_GB2312" w:hAnsi="仿宋_GB2312" w:cs="仿宋_GB2312" w:eastAsia="仿宋_GB2312"/>
                <w:sz w:val="20"/>
              </w:rPr>
              <w:t>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桥涵工点（单幅）</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218</w:t>
            </w:r>
            <w:r>
              <w:rPr>
                <w:rFonts w:ascii="仿宋_GB2312" w:hAnsi="仿宋_GB2312" w:cs="仿宋_GB2312" w:eastAsia="仿宋_GB2312"/>
                <w:sz w:val="20"/>
              </w:rPr>
              <w:t>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44</w:t>
            </w:r>
            <w:r>
              <w:rPr>
                <w:rFonts w:ascii="仿宋_GB2312" w:hAnsi="仿宋_GB2312" w:cs="仿宋_GB2312" w:eastAsia="仿宋_GB2312"/>
                <w:sz w:val="20"/>
              </w:rPr>
              <w:t>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隧道工点（双洞）</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处</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工点类型</w:t>
            </w:r>
            <w:r>
              <w:rPr>
                <w:rFonts w:ascii="仿宋_GB2312" w:hAnsi="仿宋_GB2312" w:cs="仿宋_GB2312" w:eastAsia="仿宋_GB2312"/>
                <w:sz w:val="20"/>
              </w:rPr>
              <w:t>：</w:t>
            </w:r>
            <w:r>
              <w:rPr>
                <w:rFonts w:ascii="仿宋_GB2312" w:hAnsi="仿宋_GB2312" w:cs="仿宋_GB2312" w:eastAsia="仿宋_GB2312"/>
                <w:sz w:val="20"/>
              </w:rPr>
              <w:t>交通安全设施工程</w:t>
            </w:r>
            <w:r>
              <w:rPr>
                <w:rFonts w:ascii="仿宋_GB2312" w:hAnsi="仿宋_GB2312" w:cs="仿宋_GB2312" w:eastAsia="仿宋_GB2312"/>
                <w:sz w:val="20"/>
              </w:rPr>
              <w:t>检测；</w:t>
            </w:r>
            <w:r>
              <w:rPr>
                <w:rFonts w:ascii="仿宋_GB2312" w:hAnsi="仿宋_GB2312" w:cs="仿宋_GB2312" w:eastAsia="仿宋_GB2312"/>
                <w:sz w:val="20"/>
              </w:rPr>
              <w:t>工点数量</w:t>
            </w:r>
            <w:r>
              <w:rPr>
                <w:rFonts w:ascii="仿宋_GB2312" w:hAnsi="仿宋_GB2312" w:cs="仿宋_GB2312" w:eastAsia="仿宋_GB2312"/>
                <w:sz w:val="20"/>
              </w:rPr>
              <w:t>：</w:t>
            </w:r>
            <w:r>
              <w:rPr>
                <w:rFonts w:ascii="仿宋_GB2312" w:hAnsi="仿宋_GB2312" w:cs="仿宋_GB2312" w:eastAsia="仿宋_GB2312"/>
                <w:sz w:val="20"/>
              </w:rPr>
              <w:t>118.7公里</w:t>
            </w:r>
            <w:r>
              <w:rPr>
                <w:rFonts w:ascii="仿宋_GB2312" w:hAnsi="仿宋_GB2312" w:cs="仿宋_GB2312" w:eastAsia="仿宋_GB2312"/>
                <w:sz w:val="20"/>
              </w:rPr>
              <w:t>；</w:t>
            </w:r>
            <w:r>
              <w:rPr>
                <w:rFonts w:ascii="仿宋_GB2312" w:hAnsi="仿宋_GB2312" w:cs="仿宋_GB2312" w:eastAsia="仿宋_GB2312"/>
                <w:sz w:val="20"/>
              </w:rPr>
              <w:t>抽检数量</w:t>
            </w:r>
            <w:r>
              <w:rPr>
                <w:rFonts w:ascii="仿宋_GB2312" w:hAnsi="仿宋_GB2312" w:cs="仿宋_GB2312" w:eastAsia="仿宋_GB2312"/>
                <w:sz w:val="20"/>
              </w:rPr>
              <w:t>：</w:t>
            </w:r>
            <w:r>
              <w:rPr>
                <w:rFonts w:ascii="仿宋_GB2312" w:hAnsi="仿宋_GB2312" w:cs="仿宋_GB2312" w:eastAsia="仿宋_GB2312"/>
                <w:sz w:val="20"/>
              </w:rPr>
              <w:t>24公里。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人员要求：所有</w:t>
            </w:r>
            <w:r>
              <w:rPr>
                <w:rFonts w:ascii="仿宋_GB2312" w:hAnsi="仿宋_GB2312" w:cs="仿宋_GB2312" w:eastAsia="仿宋_GB2312"/>
                <w:sz w:val="20"/>
              </w:rPr>
              <w:t>项目组团队</w:t>
            </w:r>
            <w:r>
              <w:rPr>
                <w:rFonts w:ascii="仿宋_GB2312" w:hAnsi="仿宋_GB2312" w:cs="仿宋_GB2312" w:eastAsia="仿宋_GB2312"/>
                <w:sz w:val="20"/>
              </w:rPr>
              <w:t>人员均须在</w:t>
            </w:r>
            <w:r>
              <w:rPr>
                <w:rFonts w:ascii="仿宋_GB2312" w:hAnsi="仿宋_GB2312" w:cs="仿宋_GB2312" w:eastAsia="仿宋_GB2312"/>
                <w:sz w:val="20"/>
              </w:rPr>
              <w:t>1965年1月1日后出生；项目负责人和技术负责人所持有的资格证书专业应覆盖道路工程、桥梁隧道工程、交通工程。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自合同签订之日起至检验验收合格之日止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自合同签订之日起至检验验收合格之日止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服务期满经甲方验收合格后，确定项目完成。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服务期满经甲方验收合格后，确定项目完成。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合同生效且乙方进场开展工作后10日，经双方协商甲方视工作开展具体情况和服务完成进度向乙方支付合同金额，支付前乙方应提供正式发票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成交单位在领取成交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（2）如响应文件中融资相关内容与新政策要求有出入，按照最新要求执行。 （3）关于公路水运工程试验检测师证书说明：新版证书专业为道路工程、桥梁隧道工程、交通工程；旧版证书专业为材料、公路、桥梁、隧道、交通安全设施、机电工程， 其中新版道路工程专业等同于旧版公路、材料 2 个专业，新版桥梁隧道工程等同于旧版桥梁、隧道 2 个专业，新版交通工程专业等同于旧版交通安全设施、机电工程 2 个专业。 满足要求的旧版公路工程试验检测资格证书视为有效。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提供磋商截止时间前6个月内任意时段已缴纳的纳税证明或完税证明和已缴存的社会保障资金缴费证明或参保证明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具有相关专业高级或以上技术职称；持有交通运输部颁发的试验检测工程师证书；担任过新建或改扩建高速公路项目韧性提升交工核验或竣工验收质量检测服务项目的项目负责人</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韧性提升交工核验或竣工验收质量检测服务项目的技术负责人</w:t>
            </w:r>
          </w:p>
        </w:tc>
        <w:tc>
          <w:tcPr>
            <w:tcW w:type="dxa" w:w="1661"/>
          </w:tcPr>
          <w:p>
            <w:pPr>
              <w:pStyle w:val="null3"/>
            </w:pPr>
            <w:r>
              <w:rPr>
                <w:rFonts w:ascii="仿宋_GB2312" w:hAnsi="仿宋_GB2312" w:cs="仿宋_GB2312" w:eastAsia="仿宋_GB2312"/>
              </w:rPr>
              <w:t>资格证明文件-1包.docx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提供磋商截止时间前6个月内任意时段已缴纳的纳税证明或完税证明和已缴存的社会保障资金缴费证明或参保证明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法定代表人直接参加磋商的，须提供法定代表人身份证明（法人身份证原件备查）；法定代表人授权代表参加磋商的，须提供法定代表人授权委托书（授权代表身份证原件备查）</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具备公路工程甲级资质证书或公路工程综合甲级等级证书。</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具有相关专业高级或以上技术职称；持有交通运输部颁发的试验检测工程师证书；担任过新建或改扩建高速公路项目韧性提升交工核验或竣工验收质量检测服务项目的项目负责人</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具有相关专业高级或以上技术职称；持有交通运输部颁发的试验检测工程师证书（应满足道路工程、桥梁隧道工程、交通工程三项中任意两项）；担任过新建或改扩建高速公路项目韧性提升交工核验或竣工验收质量检测服务项目的技术负责人</w:t>
            </w:r>
          </w:p>
        </w:tc>
        <w:tc>
          <w:tcPr>
            <w:tcW w:type="dxa" w:w="1661"/>
          </w:tcPr>
          <w:p>
            <w:pPr>
              <w:pStyle w:val="null3"/>
            </w:pPr>
            <w:r>
              <w:rPr>
                <w:rFonts w:ascii="仿宋_GB2312" w:hAnsi="仿宋_GB2312" w:cs="仿宋_GB2312" w:eastAsia="仿宋_GB2312"/>
              </w:rPr>
              <w:t>资格证明文件-2包.docx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费用组成明细表-1包.docx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费用组成明细表-1包.docx 商务应答表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费用组成明细表-2包.docx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标的清单 报价表 费用组成明细表-2包.docx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每增加1个近5年（2021年至今），新建或改扩建高速公路项目韧性提升交工核验或竣工验收质量检测服务项目业绩得3分，最高得9分。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人员-1包.docx</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每增加1个近5年（2021年至今），新建或改扩建高速公路项目韧性提升交工核验或竣工验收质量检测服务项目业绩得3分，最高得9分。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人员-1包.docx</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人员-1包.docx</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每提供1个近5年（2021年至今），独立完成过新建或改扩建高速公路项目韧性提升交工核验或竣工验收前质量检测服务的工作业绩得3分，业绩中含长度≥3000m隧道的韧性提升交工核验工作得4分，最高得10分。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业绩-1包.docx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工作部署及时间安排清楚、详细，考虑周全完整、切实可行，完全满足项目实施需求的得（5-7]分；工作计划安排比较合理、详细，具有可行性得（3-5]分；工作安排计划欠缺，方案措施存在部分漏项或缺陷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 报价得分=（评审基准价/投标报价）×价格权值（10%）×100%； 1、投标报价不完整的，不进入评标标准价的计算，本项得0分。 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费用组成明细表-1包.docx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每增加1个近5年（2021年至今），新建或改扩建高速公路项目韧性提升交工核验或竣工验收质量检测服务项目业绩得3分，最高得9分。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人员-2包.docx</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每增加1个近5年（2021年至今），新建或改扩建高速公路项目韧性提升交工核验或竣工验收质量检测服务项目业绩得3分，最高得9分。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人员-2包.docx</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参加本项目的检测工程师每人得1分，检测员每名得0.5分 ，最多得10分。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人员-2包.docx</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每提供1个近5年（2021年至今），独立完成过新建或改扩建高速公路项目韧性提升交工核验或竣工验收前质量检测服务的工作业绩得3分，业绩中含长度≥3000m隧道的韧性提升交工核验工作得4分，最高得10分。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业绩-2包.docx</w:t>
            </w:r>
          </w:p>
        </w:tc>
      </w:tr>
      <w:tr>
        <w:tc>
          <w:tcPr>
            <w:tcW w:type="dxa" w:w="831"/>
            <w:vMerge/>
          </w:tcPr>
          <w:p/>
        </w:tc>
        <w:tc>
          <w:tcPr>
            <w:tcW w:type="dxa" w:w="1661"/>
          </w:tcPr>
          <w:p>
            <w:pPr>
              <w:pStyle w:val="null3"/>
            </w:pPr>
            <w:r>
              <w:rPr>
                <w:rFonts w:ascii="仿宋_GB2312" w:hAnsi="仿宋_GB2312" w:cs="仿宋_GB2312" w:eastAsia="仿宋_GB2312"/>
              </w:rPr>
              <w:t>竣工验收质量鉴定服务总体计划</w:t>
            </w:r>
          </w:p>
        </w:tc>
        <w:tc>
          <w:tcPr>
            <w:tcW w:type="dxa" w:w="2492"/>
          </w:tcPr>
          <w:p>
            <w:pPr>
              <w:pStyle w:val="null3"/>
            </w:pPr>
            <w:r>
              <w:rPr>
                <w:rFonts w:ascii="仿宋_GB2312" w:hAnsi="仿宋_GB2312" w:cs="仿宋_GB2312" w:eastAsia="仿宋_GB2312"/>
              </w:rPr>
              <w:t>竣工验收质量鉴定服务总体计划0-7分： 工作部署及时间安排清楚、详细，考虑周全完整、切实可行，完全满足项目实施需求的得（5-7]分； 工作计划安排比较合理、详细，具有可行性得（3-5]分； 工作安排计划欠缺，方案措施存在部分漏项或缺陷得（0-3]分；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竣工验收质量鉴定服务组织机构及管理措施</w:t>
            </w:r>
          </w:p>
        </w:tc>
        <w:tc>
          <w:tcPr>
            <w:tcW w:type="dxa" w:w="2492"/>
          </w:tcPr>
          <w:p>
            <w:pPr>
              <w:pStyle w:val="null3"/>
            </w:pPr>
            <w:r>
              <w:rPr>
                <w:rFonts w:ascii="仿宋_GB2312" w:hAnsi="仿宋_GB2312" w:cs="仿宋_GB2312" w:eastAsia="仿宋_GB2312"/>
              </w:rPr>
              <w:t>竣工验收质量鉴定服务组织机构及管理措施0-7分：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竣工验收质量鉴定服务目标、基本思路、方法和流程</w:t>
            </w:r>
          </w:p>
        </w:tc>
        <w:tc>
          <w:tcPr>
            <w:tcW w:type="dxa" w:w="2492"/>
          </w:tcPr>
          <w:p>
            <w:pPr>
              <w:pStyle w:val="null3"/>
            </w:pPr>
            <w:r>
              <w:rPr>
                <w:rFonts w:ascii="仿宋_GB2312" w:hAnsi="仿宋_GB2312" w:cs="仿宋_GB2312" w:eastAsia="仿宋_GB2312"/>
              </w:rPr>
              <w:t>竣工验收质量鉴定服务目标、基本思路、方法和流程0-7分： 总体思路表达清晰、严谨、合理，思路科学合理先进的得（5-7]分；思路表述比较清晰，不够严谨，思路比较科学合理的得（3-5]分； 思路内容混乱，计划理念差的得（0-3]分；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本工程竣工验收质量鉴定实施方案与技术措施</w:t>
            </w:r>
          </w:p>
        </w:tc>
        <w:tc>
          <w:tcPr>
            <w:tcW w:type="dxa" w:w="2492"/>
          </w:tcPr>
          <w:p>
            <w:pPr>
              <w:pStyle w:val="null3"/>
            </w:pPr>
            <w:r>
              <w:rPr>
                <w:rFonts w:ascii="仿宋_GB2312" w:hAnsi="仿宋_GB2312" w:cs="仿宋_GB2312" w:eastAsia="仿宋_GB2312"/>
              </w:rPr>
              <w:t>本工程竣工验收质量鉴定实施方案与技术措施0-7分： 把握准确，提供的对策措施详细，可行性强得（5-7]分； 基本理解各专业工程技术咨询的特点，把握比较准确，有较为具体可行的对策措施得（3-5]分；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竣工验收质量鉴定服务进度、质量、安全保证措施</w:t>
            </w:r>
          </w:p>
        </w:tc>
        <w:tc>
          <w:tcPr>
            <w:tcW w:type="dxa" w:w="2492"/>
          </w:tcPr>
          <w:p>
            <w:pPr>
              <w:pStyle w:val="null3"/>
            </w:pPr>
            <w:r>
              <w:rPr>
                <w:rFonts w:ascii="仿宋_GB2312" w:hAnsi="仿宋_GB2312" w:cs="仿宋_GB2312" w:eastAsia="仿宋_GB2312"/>
              </w:rPr>
              <w:t>竣工验收质量鉴定服务进度、质量、安全保证措施0-8分： 把握准确，提供的对策措施详细，可行性强得（6-8]分； 基本理解各专业工程技术咨询的特点，把握比较准确，有较为具体可行的对策措施得（3-6]分；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与采购人、施工、监理各方的配合、协调工作与措施</w:t>
            </w:r>
          </w:p>
        </w:tc>
        <w:tc>
          <w:tcPr>
            <w:tcW w:type="dxa" w:w="2492"/>
          </w:tcPr>
          <w:p>
            <w:pPr>
              <w:pStyle w:val="null3"/>
            </w:pPr>
            <w:r>
              <w:rPr>
                <w:rFonts w:ascii="仿宋_GB2312" w:hAnsi="仿宋_GB2312" w:cs="仿宋_GB2312" w:eastAsia="仿宋_GB2312"/>
              </w:rPr>
              <w:t>与采购人、施工、监理各方的配合、协调工作与措施0-8分： 把握准确，提供的对策措施详细，可行性强得（6-8]分； 基本理解各各方工工作配合的特点，把握比较准确，有较为具体可行的对策措施得（3-6]分； 对项目特点理解不到位，具体情况把握不明确，对应的措施方案可行性差或存在缺陷得（0-3]分； 未提供不得分。 注：评审标准中“（ 、）”表示不包含此整数、“[、]”表示包含此整数。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本工程竣工验收质量鉴定服务工作重点、难点分析</w:t>
            </w:r>
          </w:p>
        </w:tc>
        <w:tc>
          <w:tcPr>
            <w:tcW w:type="dxa" w:w="2492"/>
          </w:tcPr>
          <w:p>
            <w:pPr>
              <w:pStyle w:val="null3"/>
            </w:pPr>
            <w:r>
              <w:rPr>
                <w:rFonts w:ascii="仿宋_GB2312" w:hAnsi="仿宋_GB2312" w:cs="仿宋_GB2312" w:eastAsia="仿宋_GB2312"/>
              </w:rPr>
              <w:t>工程竣工验收质量鉴定服务工作重点、难点分析0-8分： 重点、难点及关键技术问题分析全面、准确，措施具体，针对性强，对策措施有效、可行得（6-8]分； 重点、难点及关键技术问题分析比较全面、较准确，措施较具体，针对性较强，对策措施较有效、可行得（3-6]分； 重难点及关键技术问题分析不够全面，措施可行性差的得（0-3]分；未提供不得分。 注：评审标准中“（、）”表示不包含此整数、“[、]”表示包含此整数。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1、评标基准价=各投标供应商有效报价的最低值，投标报价等于评标基准价时得满分 报价得分=（评审基准价/投标报价）×价格权值（10%）×100%； 1、投标报价不完整的，不进入评标标准价的计算，本项得0分。 2、总计与分项计价合计不符的，以分项计价合计为准；总价小写与大写不符的，以大写为准。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费用组成明细表-2包.docx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详见附件：人员-1包.docx</w:t>
      </w:r>
    </w:p>
    <w:p>
      <w:pPr>
        <w:pStyle w:val="null3"/>
        <w:ind w:firstLine="960"/>
      </w:pPr>
      <w:r>
        <w:rPr>
          <w:rFonts w:ascii="仿宋_GB2312" w:hAnsi="仿宋_GB2312" w:cs="仿宋_GB2312" w:eastAsia="仿宋_GB2312"/>
        </w:rPr>
        <w:t>详见附件：资格证明文件-1包.docx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详见附件：费用组成明细表-1包.docx</w:t>
      </w:r>
    </w:p>
    <w:p>
      <w:pPr>
        <w:pStyle w:val="null3"/>
        <w:ind w:firstLine="960"/>
      </w:pPr>
      <w:r>
        <w:rPr>
          <w:rFonts w:ascii="仿宋_GB2312" w:hAnsi="仿宋_GB2312" w:cs="仿宋_GB2312" w:eastAsia="仿宋_GB2312"/>
        </w:rPr>
        <w:t>详见附件：业绩-1包.docx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详见附件：人员-2包.docx</w:t>
      </w:r>
    </w:p>
    <w:p>
      <w:pPr>
        <w:pStyle w:val="null3"/>
        <w:ind w:firstLine="960"/>
      </w:pPr>
      <w:r>
        <w:rPr>
          <w:rFonts w:ascii="仿宋_GB2312" w:hAnsi="仿宋_GB2312" w:cs="仿宋_GB2312" w:eastAsia="仿宋_GB2312"/>
        </w:rPr>
        <w:t>详见附件：资格证明文件-2包.docx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详见附件：费用组成明细表-2包.docx</w:t>
      </w:r>
    </w:p>
    <w:p>
      <w:pPr>
        <w:pStyle w:val="null3"/>
        <w:ind w:firstLine="960"/>
      </w:pPr>
      <w:r>
        <w:rPr>
          <w:rFonts w:ascii="仿宋_GB2312" w:hAnsi="仿宋_GB2312" w:cs="仿宋_GB2312" w:eastAsia="仿宋_GB2312"/>
        </w:rPr>
        <w:t>详见附件：业绩-2包.docx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