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版本号：DRZB2026-ZC-107-220260421001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“三秦终身学习港”线上平台微信小程序端口及功能拓展项目（二次）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DRZB2026-ZC-107-2</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“三秦终身学习港”线上平台微信小程序端口及功能拓展项目（二次）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DRZB2026-ZC-107-2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“三秦终身学习港”线上平台微信小程序端口及功能拓展项目（二次）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“三秦终身学习港”线上平台微信小程序端口及功能拓展项目（二次），具体内容详见磋商文件及采购需求。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采购包1（“三秦终身学习港”线上平台微信小程序端口及功能拓展项目）：属于专门面向中小企业采购。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或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西安市长安区郭杜北街41号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采购包1保证金金额：9,107.00元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代理服务费收费标准：本项目招标代理服务费实行市场调节价，采用差额定率累进法计费，以中标金额为计费基数，由中标人在领取中标通知书前一次性支付，如本项目代理服务费不足陆仟元则按陆仟元收取。 具体费率如下： 100万元以下，按照1.5%计取；100万元-500万元以下，按照0.8%计取；500万元-1000万元以下，按照0.45%计取；1000万元-5000万元以下，按照0.25%计取；5000万元-10000万元以下，按照0.1%计取，；10000万元-100000万元以下，按照0.05%计取；100000万元以上，按照0.01%计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（一）项目完工后，乙方向甲方提交验收申请。 （二）甲方收到验收申请后组织验收，验收时乙方应无条件予以配合并提供验收所需的全部资料，若乙方不配合或者未按合同要求提供服务的，甲方将拒绝验收。 （三）验收依据 1、磋商文件、响应文件、澄清表（函）； 2、本合同及附件文件；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联系人：贺培文、张海燕、赵璐、苏庆春、曹静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“三秦终身学习港”线上平台微信小程序端口及功能拓展项目（二次），具体内容详见磋商文件及采购需求。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平台功能开发系统维护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标的名称：平台功能开发系统维护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left"/>
            </w:pPr>
            <w:r>
              <w:rPr>
                <w:rFonts w:ascii="仿宋_GB2312" w:hAnsi="仿宋_GB2312" w:cs="仿宋_GB2312" w:eastAsia="仿宋_GB2312"/>
                <w:sz w:val="20"/>
              </w:rPr>
              <w:t>一、</w:t>
            </w:r>
            <w:r>
              <w:rPr>
                <w:rFonts w:ascii="仿宋_GB2312" w:hAnsi="仿宋_GB2312" w:cs="仿宋_GB2312" w:eastAsia="仿宋_GB2312"/>
                <w:sz w:val="20"/>
                <w:b/>
              </w:rPr>
              <w:t>平台功能升级部分</w:t>
            </w:r>
          </w:p>
          <w:p>
            <w:pPr>
              <w:pStyle w:val="null3"/>
              <w:ind w:firstLine="402"/>
              <w:jc w:val="left"/>
            </w:pPr>
            <w:r>
              <w:rPr>
                <w:rFonts w:ascii="仿宋_GB2312" w:hAnsi="仿宋_GB2312" w:cs="仿宋_GB2312" w:eastAsia="仿宋_GB2312"/>
                <w:sz w:val="20"/>
                <w:b/>
              </w:rPr>
              <w:t>（</w:t>
            </w:r>
            <w:r>
              <w:rPr>
                <w:rFonts w:ascii="仿宋_GB2312" w:hAnsi="仿宋_GB2312" w:cs="仿宋_GB2312" w:eastAsia="仿宋_GB2312"/>
                <w:sz w:val="20"/>
                <w:b/>
              </w:rPr>
              <w:t>一</w:t>
            </w:r>
            <w:r>
              <w:rPr>
                <w:rFonts w:ascii="仿宋_GB2312" w:hAnsi="仿宋_GB2312" w:cs="仿宋_GB2312" w:eastAsia="仿宋_GB2312"/>
                <w:sz w:val="20"/>
                <w:b/>
              </w:rPr>
              <w:t>）</w:t>
            </w:r>
            <w:r>
              <w:rPr>
                <w:rFonts w:ascii="仿宋_GB2312" w:hAnsi="仿宋_GB2312" w:cs="仿宋_GB2312" w:eastAsia="仿宋_GB2312"/>
                <w:sz w:val="20"/>
                <w:b/>
              </w:rPr>
              <w:t>平台整体架构与性能要求</w:t>
            </w:r>
          </w:p>
          <w:p>
            <w:pPr>
              <w:pStyle w:val="null3"/>
              <w:ind w:firstLine="400"/>
              <w:jc w:val="left"/>
            </w:pPr>
            <w:r>
              <w:rPr>
                <w:rFonts w:ascii="仿宋_GB2312" w:hAnsi="仿宋_GB2312" w:cs="仿宋_GB2312" w:eastAsia="仿宋_GB2312"/>
                <w:sz w:val="20"/>
              </w:rPr>
              <w:t>技术架构：采用稳定可靠的技术架构，支持高并发访问，可承载不少于</w:t>
            </w:r>
            <w:r>
              <w:rPr>
                <w:rFonts w:ascii="仿宋_GB2312" w:hAnsi="仿宋_GB2312" w:cs="仿宋_GB2312" w:eastAsia="仿宋_GB2312"/>
                <w:sz w:val="20"/>
              </w:rPr>
              <w:t>5000名用户同时在线操作，解决高峰时段系统响应迟缓问题，页面加载时间≤3秒，视频播放卡顿率≤1%。</w:t>
            </w:r>
          </w:p>
          <w:p>
            <w:pPr>
              <w:pStyle w:val="null3"/>
              <w:ind w:firstLine="400"/>
              <w:jc w:val="left"/>
            </w:pPr>
            <w:r>
              <w:rPr>
                <w:rFonts w:ascii="仿宋_GB2312" w:hAnsi="仿宋_GB2312" w:cs="仿宋_GB2312" w:eastAsia="仿宋_GB2312"/>
                <w:sz w:val="20"/>
              </w:rPr>
              <w:t>多端适配：支持小程序、</w:t>
            </w:r>
            <w:r>
              <w:rPr>
                <w:rFonts w:ascii="仿宋_GB2312" w:hAnsi="仿宋_GB2312" w:cs="仿宋_GB2312" w:eastAsia="仿宋_GB2312"/>
                <w:sz w:val="20"/>
              </w:rPr>
              <w:t>PC端（三秦终身学习港门户）多端协同，实现数据互通、功能同步，适配不同操作系统及不同屏幕尺寸设备。</w:t>
            </w:r>
          </w:p>
          <w:p>
            <w:pPr>
              <w:pStyle w:val="null3"/>
              <w:ind w:firstLine="400"/>
              <w:jc w:val="left"/>
            </w:pPr>
            <w:r>
              <w:rPr>
                <w:rFonts w:ascii="仿宋_GB2312" w:hAnsi="仿宋_GB2312" w:cs="仿宋_GB2312" w:eastAsia="仿宋_GB2312"/>
                <w:sz w:val="20"/>
              </w:rPr>
              <w:t>系统对接：完成小程序与三秦终身学习港门户的用户数据、积分数据对接打通，实现数据实时同步，同步延迟</w:t>
            </w:r>
            <w:r>
              <w:rPr>
                <w:rFonts w:ascii="仿宋_GB2312" w:hAnsi="仿宋_GB2312" w:cs="仿宋_GB2312" w:eastAsia="仿宋_GB2312"/>
                <w:sz w:val="20"/>
              </w:rPr>
              <w:t>≤5分钟；小程序需与校内信息化平台无缝对接，满足直播链接技术要求，可根据业务动态调整匹配。</w:t>
            </w:r>
          </w:p>
          <w:p>
            <w:pPr>
              <w:pStyle w:val="null3"/>
              <w:ind w:firstLine="402"/>
              <w:jc w:val="left"/>
            </w:pPr>
            <w:r>
              <w:rPr>
                <w:rFonts w:ascii="仿宋_GB2312" w:hAnsi="仿宋_GB2312" w:cs="仿宋_GB2312" w:eastAsia="仿宋_GB2312"/>
                <w:sz w:val="20"/>
                <w:b/>
              </w:rPr>
              <w:t>（</w:t>
            </w:r>
            <w:r>
              <w:rPr>
                <w:rFonts w:ascii="仿宋_GB2312" w:hAnsi="仿宋_GB2312" w:cs="仿宋_GB2312" w:eastAsia="仿宋_GB2312"/>
                <w:sz w:val="20"/>
                <w:b/>
              </w:rPr>
              <w:t>二</w:t>
            </w:r>
            <w:r>
              <w:rPr>
                <w:rFonts w:ascii="仿宋_GB2312" w:hAnsi="仿宋_GB2312" w:cs="仿宋_GB2312" w:eastAsia="仿宋_GB2312"/>
                <w:sz w:val="20"/>
                <w:b/>
              </w:rPr>
              <w:t>）前端设计与交互要求</w:t>
            </w:r>
          </w:p>
          <w:p>
            <w:pPr>
              <w:pStyle w:val="null3"/>
              <w:ind w:firstLine="400"/>
              <w:jc w:val="left"/>
            </w:pPr>
            <w:r>
              <w:rPr>
                <w:rFonts w:ascii="仿宋_GB2312" w:hAnsi="仿宋_GB2312" w:cs="仿宋_GB2312" w:eastAsia="仿宋_GB2312"/>
                <w:sz w:val="20"/>
              </w:rPr>
              <w:t>视觉界面设计：小程序及平台前端视觉风格统一，首页布局、色彩风格、图标按钮等符合用户操作习惯，简洁直观、重点突出；支持自定义主题配色，可根据需求调整视觉呈现效果。</w:t>
            </w:r>
          </w:p>
          <w:p>
            <w:pPr>
              <w:pStyle w:val="null3"/>
              <w:ind w:firstLine="400"/>
              <w:jc w:val="left"/>
            </w:pPr>
            <w:r>
              <w:rPr>
                <w:rFonts w:ascii="仿宋_GB2312" w:hAnsi="仿宋_GB2312" w:cs="仿宋_GB2312" w:eastAsia="仿宋_GB2312"/>
                <w:sz w:val="20"/>
              </w:rPr>
              <w:t>交互逻辑优化：简化智能服务操作流程，降低使用门槛；所有功能模块入口清晰，操作路径</w:t>
            </w:r>
            <w:r>
              <w:rPr>
                <w:rFonts w:ascii="仿宋_GB2312" w:hAnsi="仿宋_GB2312" w:cs="仿宋_GB2312" w:eastAsia="仿宋_GB2312"/>
                <w:sz w:val="20"/>
              </w:rPr>
              <w:t>≤3步即可直达核心功能；支持手势操作（如滑动切换、下拉刷新等），交互反馈及时明确。</w:t>
            </w:r>
          </w:p>
          <w:p>
            <w:pPr>
              <w:pStyle w:val="null3"/>
              <w:ind w:firstLine="402"/>
              <w:jc w:val="left"/>
            </w:pPr>
            <w:r>
              <w:rPr>
                <w:rFonts w:ascii="仿宋_GB2312" w:hAnsi="仿宋_GB2312" w:cs="仿宋_GB2312" w:eastAsia="仿宋_GB2312"/>
                <w:sz w:val="20"/>
                <w:b/>
              </w:rPr>
              <w:t>（三）模块化</w:t>
            </w:r>
            <w:r>
              <w:rPr>
                <w:rFonts w:ascii="仿宋_GB2312" w:hAnsi="仿宋_GB2312" w:cs="仿宋_GB2312" w:eastAsia="仿宋_GB2312"/>
                <w:sz w:val="20"/>
                <w:b/>
              </w:rPr>
              <w:t>升级</w:t>
            </w:r>
            <w:r>
              <w:rPr>
                <w:rFonts w:ascii="仿宋_GB2312" w:hAnsi="仿宋_GB2312" w:cs="仿宋_GB2312" w:eastAsia="仿宋_GB2312"/>
                <w:sz w:val="20"/>
                <w:b/>
              </w:rPr>
              <w:t>与资源管理要求</w:t>
            </w:r>
          </w:p>
          <w:p>
            <w:pPr>
              <w:pStyle w:val="null3"/>
              <w:ind w:firstLine="400"/>
              <w:jc w:val="left"/>
            </w:pPr>
            <w:r>
              <w:rPr>
                <w:rFonts w:ascii="仿宋_GB2312" w:hAnsi="仿宋_GB2312" w:cs="仿宋_GB2312" w:eastAsia="仿宋_GB2312"/>
                <w:sz w:val="20"/>
                <w:color w:val="000000"/>
              </w:rPr>
              <w:t>学习资源</w:t>
            </w:r>
            <w:r>
              <w:rPr>
                <w:rFonts w:ascii="仿宋_GB2312" w:hAnsi="仿宋_GB2312" w:cs="仿宋_GB2312" w:eastAsia="仿宋_GB2312"/>
                <w:sz w:val="20"/>
                <w:color w:val="000000"/>
              </w:rPr>
              <w:t>模块：支持中国精神、党史、强军之路、毛泽东思想概论、党性</w:t>
            </w:r>
            <w:r>
              <w:rPr>
                <w:rFonts w:ascii="仿宋_GB2312" w:hAnsi="仿宋_GB2312" w:cs="仿宋_GB2312" w:eastAsia="仿宋_GB2312"/>
                <w:sz w:val="20"/>
              </w:rPr>
              <w:t>修养等分类视频管理，实现视频审核、上传、编目、上下架全流程管控；支持多端视频学习，具备播放历史</w:t>
            </w:r>
            <w:r>
              <w:rPr>
                <w:rFonts w:ascii="仿宋_GB2312" w:hAnsi="仿宋_GB2312" w:cs="仿宋_GB2312" w:eastAsia="仿宋_GB2312"/>
                <w:sz w:val="20"/>
              </w:rPr>
              <w:t>与</w:t>
            </w:r>
            <w:r>
              <w:rPr>
                <w:rFonts w:ascii="仿宋_GB2312" w:hAnsi="仿宋_GB2312" w:cs="仿宋_GB2312" w:eastAsia="仿宋_GB2312"/>
                <w:sz w:val="20"/>
              </w:rPr>
              <w:t>收藏功能，视频学习对接积分系统实现积分累积。</w:t>
            </w:r>
          </w:p>
          <w:p>
            <w:pPr>
              <w:pStyle w:val="null3"/>
              <w:ind w:firstLine="400"/>
              <w:jc w:val="left"/>
            </w:pPr>
            <w:r>
              <w:rPr>
                <w:rFonts w:ascii="仿宋_GB2312" w:hAnsi="仿宋_GB2312" w:cs="仿宋_GB2312" w:eastAsia="仿宋_GB2312"/>
                <w:sz w:val="20"/>
                <w:color w:val="000000"/>
              </w:rPr>
              <w:t>优质讲座模块：提供适合大众学习的经典视频</w:t>
            </w:r>
            <w:r>
              <w:rPr>
                <w:rFonts w:ascii="仿宋_GB2312" w:hAnsi="仿宋_GB2312" w:cs="仿宋_GB2312" w:eastAsia="仿宋_GB2312"/>
                <w:sz w:val="20"/>
                <w:color w:val="000000"/>
              </w:rPr>
              <w:t>10000集，包含</w:t>
            </w:r>
            <w:r>
              <w:rPr>
                <w:rFonts w:ascii="仿宋_GB2312" w:hAnsi="仿宋_GB2312" w:cs="仿宋_GB2312" w:eastAsia="仿宋_GB2312"/>
                <w:sz w:val="20"/>
                <w:color w:val="000000"/>
              </w:rPr>
              <w:t>科普</w:t>
            </w:r>
            <w:r>
              <w:rPr>
                <w:rFonts w:ascii="仿宋_GB2312" w:hAnsi="仿宋_GB2312" w:cs="仿宋_GB2312" w:eastAsia="仿宋_GB2312"/>
                <w:sz w:val="20"/>
                <w:color w:val="000000"/>
              </w:rPr>
              <w:t>知识、</w:t>
            </w:r>
            <w:r>
              <w:rPr>
                <w:rFonts w:ascii="仿宋_GB2312" w:hAnsi="仿宋_GB2312" w:cs="仿宋_GB2312" w:eastAsia="仿宋_GB2312"/>
                <w:sz w:val="20"/>
                <w:color w:val="000000"/>
              </w:rPr>
              <w:t>优质</w:t>
            </w:r>
            <w:r>
              <w:rPr>
                <w:rFonts w:ascii="仿宋_GB2312" w:hAnsi="仿宋_GB2312" w:cs="仿宋_GB2312" w:eastAsia="仿宋_GB2312"/>
                <w:sz w:val="20"/>
                <w:color w:val="000000"/>
              </w:rPr>
              <w:t>讲座、名师</w:t>
            </w:r>
            <w:r>
              <w:rPr>
                <w:rFonts w:ascii="仿宋_GB2312" w:hAnsi="仿宋_GB2312" w:cs="仿宋_GB2312" w:eastAsia="仿宋_GB2312"/>
                <w:sz w:val="20"/>
                <w:color w:val="000000"/>
              </w:rPr>
              <w:t>课堂</w:t>
            </w:r>
            <w:r>
              <w:rPr>
                <w:rFonts w:ascii="仿宋_GB2312" w:hAnsi="仿宋_GB2312" w:cs="仿宋_GB2312" w:eastAsia="仿宋_GB2312"/>
                <w:sz w:val="20"/>
                <w:color w:val="000000"/>
              </w:rPr>
              <w:t>等栏目，实现每日更新。视频主讲人来自名校、名师的视频。</w:t>
            </w:r>
          </w:p>
          <w:p>
            <w:pPr>
              <w:pStyle w:val="null3"/>
              <w:ind w:firstLine="400"/>
              <w:jc w:val="left"/>
            </w:pPr>
            <w:r>
              <w:rPr>
                <w:rFonts w:ascii="仿宋_GB2312" w:hAnsi="仿宋_GB2312" w:cs="仿宋_GB2312" w:eastAsia="仿宋_GB2312"/>
                <w:sz w:val="20"/>
              </w:rPr>
              <w:t>大众期刊模块：精选</w:t>
            </w:r>
            <w:r>
              <w:rPr>
                <w:rFonts w:ascii="仿宋_GB2312" w:hAnsi="仿宋_GB2312" w:cs="仿宋_GB2312" w:eastAsia="仿宋_GB2312"/>
                <w:sz w:val="20"/>
              </w:rPr>
              <w:t>1000余种高频订阅优质期刊，涵盖时政、财经、生活、时尚、文学等分类。</w:t>
            </w:r>
          </w:p>
          <w:p>
            <w:pPr>
              <w:pStyle w:val="null3"/>
              <w:ind w:firstLine="400"/>
              <w:jc w:val="left"/>
            </w:pPr>
            <w:r>
              <w:rPr>
                <w:rFonts w:ascii="仿宋_GB2312" w:hAnsi="仿宋_GB2312" w:cs="仿宋_GB2312" w:eastAsia="仿宋_GB2312"/>
                <w:sz w:val="20"/>
              </w:rPr>
              <w:t>精品图书模块：提供</w:t>
            </w:r>
            <w:r>
              <w:rPr>
                <w:rFonts w:ascii="仿宋_GB2312" w:hAnsi="仿宋_GB2312" w:cs="仿宋_GB2312" w:eastAsia="仿宋_GB2312"/>
                <w:sz w:val="20"/>
              </w:rPr>
              <w:t>2.5万册epub格式畅销经典电子书，每日更新，按中图分类法分类；支持图书在线阅读、亮度调节等功能，实现图书检索、生成海报、加入书房、分享。</w:t>
            </w:r>
          </w:p>
          <w:p>
            <w:pPr>
              <w:pStyle w:val="null3"/>
              <w:ind w:firstLine="400"/>
              <w:jc w:val="left"/>
            </w:pPr>
            <w:r>
              <w:rPr>
                <w:rFonts w:ascii="仿宋_GB2312" w:hAnsi="仿宋_GB2312" w:cs="仿宋_GB2312" w:eastAsia="仿宋_GB2312"/>
                <w:sz w:val="20"/>
              </w:rPr>
              <w:t>少儿绘本模块：提供不少于</w:t>
            </w:r>
            <w:r>
              <w:rPr>
                <w:rFonts w:ascii="仿宋_GB2312" w:hAnsi="仿宋_GB2312" w:cs="仿宋_GB2312" w:eastAsia="仿宋_GB2312"/>
                <w:sz w:val="20"/>
              </w:rPr>
              <w:t>1000部少儿绘本资源，每年更新100部，包含自我成长、健康习惯、安全教育等分类；支持绘本翻页动画、语音朗读功能，适配儿童操作习惯。</w:t>
            </w:r>
          </w:p>
          <w:p>
            <w:pPr>
              <w:pStyle w:val="null3"/>
              <w:ind w:firstLine="400"/>
              <w:jc w:val="left"/>
            </w:pPr>
            <w:r>
              <w:rPr>
                <w:rFonts w:ascii="仿宋_GB2312" w:hAnsi="仿宋_GB2312" w:cs="仿宋_GB2312" w:eastAsia="仿宋_GB2312"/>
                <w:sz w:val="20"/>
              </w:rPr>
              <w:t>有声听书模块：提供不少于</w:t>
            </w:r>
            <w:r>
              <w:rPr>
                <w:rFonts w:ascii="仿宋_GB2312" w:hAnsi="仿宋_GB2312" w:cs="仿宋_GB2312" w:eastAsia="仿宋_GB2312"/>
                <w:sz w:val="20"/>
              </w:rPr>
              <w:t>8500集听书资源，涵盖传奇史话、古代历史、人物传记、国学经典、中国文学、世界名著等分类；支持听书倍速、收藏、断点续听功能。</w:t>
            </w:r>
          </w:p>
          <w:p>
            <w:pPr>
              <w:pStyle w:val="null3"/>
              <w:ind w:firstLine="400"/>
              <w:jc w:val="left"/>
            </w:pPr>
            <w:r>
              <w:rPr>
                <w:rFonts w:ascii="仿宋_GB2312" w:hAnsi="仿宋_GB2312" w:cs="仿宋_GB2312" w:eastAsia="仿宋_GB2312"/>
                <w:sz w:val="20"/>
              </w:rPr>
              <w:t>每日一讲模块：每日推送</w:t>
            </w:r>
            <w:r>
              <w:rPr>
                <w:rFonts w:ascii="仿宋_GB2312" w:hAnsi="仿宋_GB2312" w:cs="仿宋_GB2312" w:eastAsia="仿宋_GB2312"/>
                <w:sz w:val="20"/>
              </w:rPr>
              <w:t>30分钟独家录制视频讲座，主讲人为国内外知名学者、教授。</w:t>
            </w:r>
          </w:p>
          <w:p>
            <w:pPr>
              <w:pStyle w:val="null3"/>
              <w:ind w:firstLine="400"/>
              <w:jc w:val="left"/>
            </w:pPr>
            <w:r>
              <w:rPr>
                <w:rFonts w:ascii="仿宋_GB2312" w:hAnsi="仿宋_GB2312" w:cs="仿宋_GB2312" w:eastAsia="仿宋_GB2312"/>
                <w:sz w:val="20"/>
              </w:rPr>
              <w:t>今日荐读模块：每周设定</w:t>
            </w:r>
            <w:r>
              <w:rPr>
                <w:rFonts w:ascii="仿宋_GB2312" w:hAnsi="仿宋_GB2312" w:cs="仿宋_GB2312" w:eastAsia="仿宋_GB2312"/>
                <w:sz w:val="20"/>
              </w:rPr>
              <w:t>1个主题并附推荐语，每日推荐1本书并附荐书语；支持查看往期图书，提供分享好友、生成海报功能，海报包含图书信息及二维码，扫码可直接阅读。</w:t>
            </w:r>
          </w:p>
          <w:p>
            <w:pPr>
              <w:pStyle w:val="null3"/>
              <w:ind w:firstLine="400"/>
              <w:jc w:val="left"/>
            </w:pPr>
            <w:r>
              <w:rPr>
                <w:rFonts w:ascii="仿宋_GB2312" w:hAnsi="仿宋_GB2312" w:cs="仿宋_GB2312" w:eastAsia="仿宋_GB2312"/>
                <w:sz w:val="20"/>
              </w:rPr>
              <w:t>主题书单模块：提供</w:t>
            </w:r>
            <w:r>
              <w:rPr>
                <w:rFonts w:ascii="仿宋_GB2312" w:hAnsi="仿宋_GB2312" w:cs="仿宋_GB2312" w:eastAsia="仿宋_GB2312"/>
                <w:sz w:val="20"/>
              </w:rPr>
              <w:t>根据节气、节日、纪念日等时间节点</w:t>
            </w:r>
            <w:r>
              <w:rPr>
                <w:rFonts w:ascii="仿宋_GB2312" w:hAnsi="仿宋_GB2312" w:cs="仿宋_GB2312" w:eastAsia="仿宋_GB2312"/>
                <w:sz w:val="20"/>
              </w:rPr>
              <w:t>精挑细选的主题书单分类；支持书单收藏、分享，图书可直接加入</w:t>
            </w:r>
            <w:r>
              <w:rPr>
                <w:rFonts w:ascii="仿宋_GB2312" w:hAnsi="仿宋_GB2312" w:cs="仿宋_GB2312" w:eastAsia="仿宋_GB2312"/>
                <w:sz w:val="20"/>
              </w:rPr>
              <w:t>“我的书房”。</w:t>
            </w:r>
          </w:p>
          <w:p>
            <w:pPr>
              <w:pStyle w:val="null3"/>
              <w:ind w:firstLine="402"/>
              <w:jc w:val="left"/>
            </w:pPr>
            <w:r>
              <w:rPr>
                <w:rFonts w:ascii="仿宋_GB2312" w:hAnsi="仿宋_GB2312" w:cs="仿宋_GB2312" w:eastAsia="仿宋_GB2312"/>
                <w:sz w:val="20"/>
                <w:b/>
              </w:rPr>
              <w:t>（</w:t>
            </w:r>
            <w:r>
              <w:rPr>
                <w:rFonts w:ascii="仿宋_GB2312" w:hAnsi="仿宋_GB2312" w:cs="仿宋_GB2312" w:eastAsia="仿宋_GB2312"/>
                <w:sz w:val="20"/>
                <w:b/>
              </w:rPr>
              <w:t>四</w:t>
            </w:r>
            <w:r>
              <w:rPr>
                <w:rFonts w:ascii="仿宋_GB2312" w:hAnsi="仿宋_GB2312" w:cs="仿宋_GB2312" w:eastAsia="仿宋_GB2312"/>
                <w:sz w:val="20"/>
                <w:b/>
              </w:rPr>
              <w:t>）用户管理与权限控制要求</w:t>
            </w:r>
          </w:p>
          <w:p>
            <w:pPr>
              <w:pStyle w:val="null3"/>
              <w:ind w:firstLine="400"/>
              <w:jc w:val="left"/>
            </w:pPr>
            <w:r>
              <w:rPr>
                <w:rFonts w:ascii="仿宋_GB2312" w:hAnsi="仿宋_GB2312" w:cs="仿宋_GB2312" w:eastAsia="仿宋_GB2312"/>
                <w:sz w:val="20"/>
              </w:rPr>
              <w:t>基础用户管理：支持用户注册、登录（微信授权）；可按账号或手机号查询单位下用户，支持单个添加或批量导入用户（提供标准模板），可查看用户激活状态。</w:t>
            </w:r>
          </w:p>
          <w:p>
            <w:pPr>
              <w:pStyle w:val="null3"/>
              <w:ind w:firstLine="400"/>
              <w:jc w:val="left"/>
            </w:pPr>
            <w:r>
              <w:rPr>
                <w:rFonts w:ascii="仿宋_GB2312" w:hAnsi="仿宋_GB2312" w:cs="仿宋_GB2312" w:eastAsia="仿宋_GB2312"/>
                <w:sz w:val="20"/>
              </w:rPr>
              <w:t>分级权限管理：建立省、</w:t>
            </w:r>
            <w:r>
              <w:rPr>
                <w:rFonts w:ascii="仿宋_GB2312" w:hAnsi="仿宋_GB2312" w:cs="仿宋_GB2312" w:eastAsia="仿宋_GB2312"/>
                <w:sz w:val="20"/>
              </w:rPr>
              <w:t>地市</w:t>
            </w:r>
            <w:r>
              <w:rPr>
                <w:rFonts w:ascii="仿宋_GB2312" w:hAnsi="仿宋_GB2312" w:cs="仿宋_GB2312" w:eastAsia="仿宋_GB2312"/>
                <w:sz w:val="20"/>
              </w:rPr>
              <w:t>、</w:t>
            </w:r>
            <w:r>
              <w:rPr>
                <w:rFonts w:ascii="仿宋_GB2312" w:hAnsi="仿宋_GB2312" w:cs="仿宋_GB2312" w:eastAsia="仿宋_GB2312"/>
                <w:sz w:val="20"/>
              </w:rPr>
              <w:t>企业</w:t>
            </w:r>
            <w:r>
              <w:rPr>
                <w:rFonts w:ascii="仿宋_GB2312" w:hAnsi="仿宋_GB2312" w:cs="仿宋_GB2312" w:eastAsia="仿宋_GB2312"/>
                <w:sz w:val="20"/>
              </w:rPr>
              <w:t>三级权限体系，支持树形层级建设、角色权限分配、组织区域架构管理；各地市联络员可直接通过平台推荐学员、查看管辖区域学习数据；支持组织架构部门排序，可批量导入部门下用户。</w:t>
            </w:r>
          </w:p>
          <w:p>
            <w:pPr>
              <w:pStyle w:val="null3"/>
              <w:ind w:firstLine="402"/>
              <w:jc w:val="left"/>
            </w:pPr>
            <w:r>
              <w:rPr>
                <w:rFonts w:ascii="仿宋_GB2312" w:hAnsi="仿宋_GB2312" w:cs="仿宋_GB2312" w:eastAsia="仿宋_GB2312"/>
                <w:sz w:val="20"/>
                <w:b/>
              </w:rPr>
              <w:t>（五）积分与互动功能要求</w:t>
            </w:r>
          </w:p>
          <w:p>
            <w:pPr>
              <w:pStyle w:val="null3"/>
              <w:ind w:firstLine="402"/>
              <w:jc w:val="left"/>
            </w:pPr>
            <w:r>
              <w:rPr>
                <w:rFonts w:ascii="仿宋_GB2312" w:hAnsi="仿宋_GB2312" w:cs="仿宋_GB2312" w:eastAsia="仿宋_GB2312"/>
                <w:sz w:val="20"/>
                <w:b/>
              </w:rPr>
              <w:t>1、</w:t>
            </w:r>
            <w:r>
              <w:rPr>
                <w:rFonts w:ascii="仿宋_GB2312" w:hAnsi="仿宋_GB2312" w:cs="仿宋_GB2312" w:eastAsia="仿宋_GB2312"/>
                <w:sz w:val="20"/>
                <w:b/>
              </w:rPr>
              <w:t>积分系统</w:t>
            </w:r>
          </w:p>
          <w:p>
            <w:pPr>
              <w:pStyle w:val="null3"/>
              <w:ind w:firstLine="400"/>
              <w:jc w:val="left"/>
            </w:pPr>
            <w:r>
              <w:rPr>
                <w:rFonts w:ascii="仿宋_GB2312" w:hAnsi="仿宋_GB2312" w:cs="仿宋_GB2312" w:eastAsia="仿宋_GB2312"/>
                <w:sz w:val="20"/>
              </w:rPr>
              <w:t>积分项配置：提供不少于</w:t>
            </w:r>
            <w:r>
              <w:rPr>
                <w:rFonts w:ascii="仿宋_GB2312" w:hAnsi="仿宋_GB2312" w:cs="仿宋_GB2312" w:eastAsia="仿宋_GB2312"/>
                <w:sz w:val="20"/>
              </w:rPr>
              <w:t>10种可设置的积分项及对应分值，包括签到、图书添加书房、图书阅读、听书添加书房、听书、期刊添加书房、期刊阅读、绘本添加书房、绘本阅读、学习打卡等。</w:t>
            </w:r>
          </w:p>
          <w:p>
            <w:pPr>
              <w:pStyle w:val="null3"/>
              <w:ind w:firstLine="400"/>
              <w:jc w:val="left"/>
            </w:pPr>
            <w:r>
              <w:rPr>
                <w:rFonts w:ascii="仿宋_GB2312" w:hAnsi="仿宋_GB2312" w:cs="仿宋_GB2312" w:eastAsia="仿宋_GB2312"/>
                <w:sz w:val="20"/>
              </w:rPr>
              <w:t>规则管理：积分规则和分值可在后台灵活设置，支持添加、修改、删除积分项；前端需清晰展示积分规则及各积分项对应分值。</w:t>
            </w:r>
          </w:p>
          <w:p>
            <w:pPr>
              <w:pStyle w:val="null3"/>
              <w:ind w:firstLine="400"/>
              <w:jc w:val="left"/>
            </w:pPr>
            <w:r>
              <w:rPr>
                <w:rFonts w:ascii="仿宋_GB2312" w:hAnsi="仿宋_GB2312" w:cs="仿宋_GB2312" w:eastAsia="仿宋_GB2312"/>
                <w:sz w:val="20"/>
              </w:rPr>
              <w:t>积分记录：提供个人</w:t>
            </w:r>
            <w:r>
              <w:rPr>
                <w:rFonts w:ascii="仿宋_GB2312" w:hAnsi="仿宋_GB2312" w:cs="仿宋_GB2312" w:eastAsia="仿宋_GB2312"/>
                <w:sz w:val="20"/>
              </w:rPr>
              <w:t>“积分记录”功能，可查看实时积分明细（含积分增减原因、时间、分值）；支持积分明细导出。</w:t>
            </w:r>
          </w:p>
          <w:p>
            <w:pPr>
              <w:pStyle w:val="null3"/>
              <w:ind w:firstLine="400"/>
              <w:jc w:val="left"/>
            </w:pPr>
            <w:r>
              <w:rPr>
                <w:rFonts w:ascii="仿宋_GB2312" w:hAnsi="仿宋_GB2312" w:cs="仿宋_GB2312" w:eastAsia="仿宋_GB2312"/>
                <w:sz w:val="20"/>
              </w:rPr>
              <w:t>积分对接：与积分商城无缝对接，支持积分在线消耗兑换商品，兑换流程清晰，兑换记录实时同步。</w:t>
            </w:r>
          </w:p>
          <w:p>
            <w:pPr>
              <w:pStyle w:val="null3"/>
              <w:ind w:firstLine="402"/>
              <w:jc w:val="left"/>
            </w:pPr>
            <w:r>
              <w:rPr>
                <w:rFonts w:ascii="仿宋_GB2312" w:hAnsi="仿宋_GB2312" w:cs="仿宋_GB2312" w:eastAsia="仿宋_GB2312"/>
                <w:sz w:val="20"/>
                <w:b/>
              </w:rPr>
              <w:t>2、互动与打卡功能</w:t>
            </w:r>
          </w:p>
          <w:p>
            <w:pPr>
              <w:pStyle w:val="null3"/>
              <w:ind w:firstLine="400"/>
              <w:jc w:val="left"/>
            </w:pPr>
            <w:r>
              <w:rPr>
                <w:rFonts w:ascii="仿宋_GB2312" w:hAnsi="仿宋_GB2312" w:cs="仿宋_GB2312" w:eastAsia="仿宋_GB2312"/>
                <w:sz w:val="20"/>
              </w:rPr>
              <w:t>学习打卡：后台可灵活设置打卡规则周期；用户打卡可获得对应积分，打卡页面直观展示其他积分项，支持点击跳转学习；可累计打卡天数，间断打卡则重新累计，支持查看打卡历史与积分明细。</w:t>
            </w:r>
          </w:p>
          <w:p>
            <w:pPr>
              <w:pStyle w:val="null3"/>
              <w:ind w:firstLine="402"/>
              <w:jc w:val="left"/>
            </w:pPr>
            <w:r>
              <w:rPr>
                <w:rFonts w:ascii="仿宋_GB2312" w:hAnsi="仿宋_GB2312" w:cs="仿宋_GB2312" w:eastAsia="仿宋_GB2312"/>
                <w:sz w:val="20"/>
                <w:b/>
              </w:rPr>
              <w:t>（六）检索与个人中心功能要求</w:t>
            </w:r>
          </w:p>
          <w:p>
            <w:pPr>
              <w:pStyle w:val="null3"/>
              <w:ind w:firstLine="400"/>
              <w:jc w:val="left"/>
            </w:pPr>
            <w:r>
              <w:rPr>
                <w:rFonts w:ascii="仿宋_GB2312" w:hAnsi="仿宋_GB2312" w:cs="仿宋_GB2312" w:eastAsia="仿宋_GB2312"/>
                <w:sz w:val="20"/>
              </w:rPr>
              <w:t>统一检索：实现图书、期刊、讲座、听书、绘本等小程序自带资源的一站式检索，支持关键词检索、分类检索；提供热门搜索词推荐及最近搜索记录。</w:t>
            </w:r>
          </w:p>
          <w:p>
            <w:pPr>
              <w:pStyle w:val="null3"/>
              <w:ind w:firstLine="400"/>
              <w:jc w:val="left"/>
            </w:pPr>
            <w:r>
              <w:rPr>
                <w:rFonts w:ascii="仿宋_GB2312" w:hAnsi="仿宋_GB2312" w:cs="仿宋_GB2312" w:eastAsia="仿宋_GB2312"/>
                <w:sz w:val="20"/>
              </w:rPr>
              <w:t>我的书房：聚合展示用户添加的图书、期刊、绘本、听书资源，支持按资源类型筛选；支持资源批量删除，方便用户查找与整理。</w:t>
            </w:r>
          </w:p>
          <w:p>
            <w:pPr>
              <w:pStyle w:val="null3"/>
              <w:ind w:firstLine="400"/>
              <w:jc w:val="left"/>
            </w:pPr>
            <w:r>
              <w:rPr>
                <w:rFonts w:ascii="仿宋_GB2312" w:hAnsi="仿宋_GB2312" w:cs="仿宋_GB2312" w:eastAsia="仿宋_GB2312"/>
                <w:sz w:val="20"/>
              </w:rPr>
              <w:t>分享功能：小程序内图书、期刊、讲座、书单等自带资源支持</w:t>
            </w:r>
            <w:r>
              <w:rPr>
                <w:rFonts w:ascii="仿宋_GB2312" w:hAnsi="仿宋_GB2312" w:cs="仿宋_GB2312" w:eastAsia="仿宋_GB2312"/>
                <w:sz w:val="20"/>
              </w:rPr>
              <w:t>“生成海报”功能，海报包含资源核心信息及二维码，读者扫码即可在线阅读学习。</w:t>
            </w:r>
          </w:p>
          <w:p>
            <w:pPr>
              <w:pStyle w:val="null3"/>
              <w:ind w:firstLine="402"/>
              <w:jc w:val="left"/>
            </w:pPr>
            <w:r>
              <w:rPr>
                <w:rFonts w:ascii="仿宋_GB2312" w:hAnsi="仿宋_GB2312" w:cs="仿宋_GB2312" w:eastAsia="仿宋_GB2312"/>
                <w:sz w:val="20"/>
                <w:b/>
              </w:rPr>
              <w:t>（七）后台管理与数据统计要求</w:t>
            </w:r>
          </w:p>
          <w:p>
            <w:pPr>
              <w:pStyle w:val="null3"/>
              <w:ind w:firstLine="400"/>
              <w:jc w:val="left"/>
            </w:pPr>
            <w:r>
              <w:rPr>
                <w:rFonts w:ascii="仿宋_GB2312" w:hAnsi="仿宋_GB2312" w:cs="仿宋_GB2312" w:eastAsia="仿宋_GB2312"/>
                <w:sz w:val="20"/>
              </w:rPr>
              <w:t>导航与轮播图管理：支持小程序头部导航显隐、新增及跳转配置；支持首页轮播图增删改查、排序、链接设置。</w:t>
            </w:r>
          </w:p>
          <w:p>
            <w:pPr>
              <w:pStyle w:val="null3"/>
              <w:ind w:firstLine="400"/>
              <w:jc w:val="left"/>
            </w:pPr>
            <w:r>
              <w:rPr>
                <w:rFonts w:ascii="仿宋_GB2312" w:hAnsi="仿宋_GB2312" w:cs="仿宋_GB2312" w:eastAsia="仿宋_GB2312"/>
                <w:sz w:val="20"/>
              </w:rPr>
              <w:t>资源管理：支持单位自有学习视频资源的上传、排序、展示，可对接至三秦终身学习港门户</w:t>
            </w:r>
            <w:r>
              <w:rPr>
                <w:rFonts w:ascii="仿宋_GB2312" w:hAnsi="仿宋_GB2312" w:cs="仿宋_GB2312" w:eastAsia="仿宋_GB2312"/>
                <w:sz w:val="20"/>
              </w:rPr>
              <w:t>PC端展示；支持学习资源分类的增加、删除、修改、查询、排序，可手动修改分类名称与排序顺序。</w:t>
            </w:r>
          </w:p>
          <w:p>
            <w:pPr>
              <w:pStyle w:val="null3"/>
              <w:ind w:firstLine="400"/>
              <w:jc w:val="left"/>
            </w:pPr>
            <w:r>
              <w:rPr>
                <w:rFonts w:ascii="仿宋_GB2312" w:hAnsi="仿宋_GB2312" w:cs="仿宋_GB2312" w:eastAsia="仿宋_GB2312"/>
                <w:sz w:val="20"/>
              </w:rPr>
              <w:t>积分商城管理：包含商品分类管理（添加、编辑）、商品管理（添加、编辑，可设置上下线时间、描述、封面、兑换积分、库存、状态、类别等）、交易记录管理（按用户号、订单号、商品复合查询，记录包含用户名、商品名称、订单号、消耗积分、操作时间、订单状态等）、兑换规则管理（自定义规则，读者可查看）。</w:t>
            </w:r>
          </w:p>
          <w:p>
            <w:pPr>
              <w:pStyle w:val="null3"/>
              <w:ind w:firstLine="402"/>
              <w:jc w:val="left"/>
            </w:pPr>
            <w:r>
              <w:rPr>
                <w:rFonts w:ascii="仿宋_GB2312" w:hAnsi="仿宋_GB2312" w:cs="仿宋_GB2312" w:eastAsia="仿宋_GB2312"/>
                <w:sz w:val="20"/>
                <w:b/>
              </w:rPr>
              <w:t>（八）资源更新与服务保障要求</w:t>
            </w:r>
          </w:p>
          <w:p>
            <w:pPr>
              <w:pStyle w:val="null3"/>
              <w:ind w:firstLine="400"/>
              <w:jc w:val="left"/>
            </w:pPr>
            <w:r>
              <w:rPr>
                <w:rFonts w:ascii="仿宋_GB2312" w:hAnsi="仿宋_GB2312" w:cs="仿宋_GB2312" w:eastAsia="仿宋_GB2312"/>
                <w:sz w:val="20"/>
              </w:rPr>
              <w:t>资源更新：合同期内持续更新平台资源，其中图书每日更新、少儿绘本每年更新</w:t>
            </w:r>
            <w:r>
              <w:rPr>
                <w:rFonts w:ascii="仿宋_GB2312" w:hAnsi="仿宋_GB2312" w:cs="仿宋_GB2312" w:eastAsia="仿宋_GB2312"/>
                <w:sz w:val="20"/>
              </w:rPr>
              <w:t>100部、优质讲座每日更新、期刊按出版周期同步更新；定期评估资源使用情况，对过时、低质资源进行优化替换或归档下架。</w:t>
            </w:r>
          </w:p>
          <w:p>
            <w:pPr>
              <w:pStyle w:val="null3"/>
              <w:ind w:firstLine="400"/>
              <w:jc w:val="left"/>
            </w:pPr>
            <w:r>
              <w:rPr>
                <w:rFonts w:ascii="仿宋_GB2312" w:hAnsi="仿宋_GB2312" w:cs="仿宋_GB2312" w:eastAsia="仿宋_GB2312"/>
                <w:sz w:val="20"/>
              </w:rPr>
              <w:t>技术维护：提供</w:t>
            </w:r>
            <w:r>
              <w:rPr>
                <w:rFonts w:ascii="仿宋_GB2312" w:hAnsi="仿宋_GB2312" w:cs="仿宋_GB2312" w:eastAsia="仿宋_GB2312"/>
                <w:sz w:val="20"/>
              </w:rPr>
              <w:t>3年内免费故障修复与系统优化服务，故障响应时间≤2小时，一般故障24小时内解决，重大故障48小时内提供解决方案。</w:t>
            </w:r>
          </w:p>
          <w:p>
            <w:pPr>
              <w:pStyle w:val="null3"/>
              <w:ind w:firstLine="400"/>
              <w:jc w:val="left"/>
            </w:pPr>
            <w:r>
              <w:rPr>
                <w:rFonts w:ascii="仿宋_GB2312" w:hAnsi="仿宋_GB2312" w:cs="仿宋_GB2312" w:eastAsia="仿宋_GB2312"/>
                <w:sz w:val="20"/>
              </w:rPr>
              <w:t>售后支持：提供</w:t>
            </w:r>
            <w:r>
              <w:rPr>
                <w:rFonts w:ascii="仿宋_GB2312" w:hAnsi="仿宋_GB2312" w:cs="仿宋_GB2312" w:eastAsia="仿宋_GB2312"/>
                <w:sz w:val="20"/>
              </w:rPr>
              <w:t>7×24小时技术咨询服务，通过电话、邮件、远程协助等方式响应需求；明确资源更新周期、系统迭代计划，配合招标人开展培训活动、政策推广，针对性上架专题学习资源。</w:t>
            </w:r>
          </w:p>
          <w:p>
            <w:pPr>
              <w:pStyle w:val="null3"/>
              <w:ind w:firstLine="400"/>
              <w:jc w:val="left"/>
            </w:pPr>
            <w:r>
              <w:rPr>
                <w:rFonts w:ascii="仿宋_GB2312" w:hAnsi="仿宋_GB2312" w:cs="仿宋_GB2312" w:eastAsia="仿宋_GB2312"/>
                <w:sz w:val="20"/>
              </w:rPr>
              <w:t>知识产权保障：确保所有提供的视频、图书、期刊、听书等资源无版权纠纷，可提供相关知识产权证明文件待查。</w:t>
            </w:r>
          </w:p>
          <w:p>
            <w:pPr>
              <w:pStyle w:val="null3"/>
              <w:ind w:firstLine="400"/>
              <w:jc w:val="left"/>
            </w:pPr>
            <w:r>
              <w:rPr>
                <w:rFonts w:ascii="仿宋_GB2312" w:hAnsi="仿宋_GB2312" w:cs="仿宋_GB2312" w:eastAsia="仿宋_GB2312"/>
                <w:sz w:val="20"/>
              </w:rPr>
              <w:t>二、</w:t>
            </w:r>
            <w:r>
              <w:rPr>
                <w:rFonts w:ascii="仿宋_GB2312" w:hAnsi="仿宋_GB2312" w:cs="仿宋_GB2312" w:eastAsia="仿宋_GB2312"/>
                <w:sz w:val="20"/>
                <w:b/>
              </w:rPr>
              <w:t>平台功能定制开发部分</w:t>
            </w:r>
          </w:p>
          <w:p>
            <w:pPr>
              <w:pStyle w:val="null3"/>
              <w:ind w:firstLine="402"/>
              <w:jc w:val="left"/>
            </w:pPr>
            <w:r>
              <w:rPr>
                <w:rFonts w:ascii="仿宋_GB2312" w:hAnsi="仿宋_GB2312" w:cs="仿宋_GB2312" w:eastAsia="仿宋_GB2312"/>
                <w:sz w:val="20"/>
                <w:b/>
              </w:rPr>
              <w:t>（</w:t>
            </w:r>
            <w:r>
              <w:rPr>
                <w:rFonts w:ascii="仿宋_GB2312" w:hAnsi="仿宋_GB2312" w:cs="仿宋_GB2312" w:eastAsia="仿宋_GB2312"/>
                <w:sz w:val="20"/>
                <w:b/>
              </w:rPr>
              <w:t>一</w:t>
            </w:r>
            <w:r>
              <w:rPr>
                <w:rFonts w:ascii="仿宋_GB2312" w:hAnsi="仿宋_GB2312" w:cs="仿宋_GB2312" w:eastAsia="仿宋_GB2312"/>
                <w:sz w:val="20"/>
                <w:b/>
              </w:rPr>
              <w:t>）定制化学习模块</w:t>
            </w:r>
          </w:p>
          <w:p>
            <w:pPr>
              <w:pStyle w:val="null3"/>
              <w:ind w:firstLine="400"/>
              <w:jc w:val="left"/>
            </w:pPr>
            <w:r>
              <w:rPr>
                <w:rFonts w:ascii="仿宋_GB2312" w:hAnsi="仿宋_GB2312" w:cs="仿宋_GB2312" w:eastAsia="仿宋_GB2312"/>
                <w:sz w:val="20"/>
                <w:color w:val="000000"/>
              </w:rPr>
              <w:t>独立模块开发：</w:t>
            </w:r>
            <w:r>
              <w:rPr>
                <w:rFonts w:ascii="仿宋_GB2312" w:hAnsi="仿宋_GB2312" w:cs="仿宋_GB2312" w:eastAsia="仿宋_GB2312"/>
                <w:sz w:val="20"/>
                <w:color w:val="000000"/>
              </w:rPr>
              <w:t>针对</w:t>
            </w:r>
            <w:r>
              <w:rPr>
                <w:rFonts w:ascii="仿宋_GB2312" w:hAnsi="仿宋_GB2312" w:cs="仿宋_GB2312" w:eastAsia="仿宋_GB2312"/>
                <w:sz w:val="20"/>
                <w:color w:val="000000"/>
              </w:rPr>
              <w:t>“两司两员一主播”等新就业群体</w:t>
            </w:r>
            <w:r>
              <w:rPr>
                <w:rFonts w:ascii="仿宋_GB2312" w:hAnsi="仿宋_GB2312" w:cs="仿宋_GB2312" w:eastAsia="仿宋_GB2312"/>
                <w:sz w:val="20"/>
                <w:color w:val="000000"/>
              </w:rPr>
              <w:t>独立开发</w:t>
            </w:r>
            <w:r>
              <w:rPr>
                <w:rFonts w:ascii="仿宋_GB2312" w:hAnsi="仿宋_GB2312" w:cs="仿宋_GB2312" w:eastAsia="仿宋_GB2312"/>
                <w:sz w:val="20"/>
                <w:color w:val="000000"/>
              </w:rPr>
              <w:t>“</w:t>
            </w:r>
            <w:r>
              <w:rPr>
                <w:rFonts w:ascii="仿宋_GB2312" w:hAnsi="仿宋_GB2312" w:cs="仿宋_GB2312" w:eastAsia="仿宋_GB2312"/>
                <w:sz w:val="20"/>
                <w:color w:val="000000"/>
              </w:rPr>
              <w:t>暖</w:t>
            </w:r>
            <w:r>
              <w:rPr>
                <w:rFonts w:ascii="仿宋_GB2312" w:hAnsi="仿宋_GB2312" w:cs="仿宋_GB2312" w:eastAsia="仿宋_GB2312"/>
                <w:sz w:val="20"/>
                <w:color w:val="000000"/>
              </w:rPr>
              <w:t>‘新’育见</w:t>
            </w:r>
            <w:r>
              <w:rPr>
                <w:rFonts w:ascii="仿宋_GB2312" w:hAnsi="仿宋_GB2312" w:cs="仿宋_GB2312" w:eastAsia="仿宋_GB2312"/>
                <w:sz w:val="20"/>
                <w:color w:val="000000"/>
              </w:rPr>
              <w:t>”“</w:t>
            </w:r>
            <w:r>
              <w:rPr>
                <w:rFonts w:ascii="仿宋_GB2312" w:hAnsi="仿宋_GB2312" w:cs="仿宋_GB2312" w:eastAsia="仿宋_GB2312"/>
                <w:sz w:val="20"/>
                <w:color w:val="000000"/>
              </w:rPr>
              <w:t>技能提升</w:t>
            </w:r>
            <w:r>
              <w:rPr>
                <w:rFonts w:ascii="仿宋_GB2312" w:hAnsi="仿宋_GB2312" w:cs="仿宋_GB2312" w:eastAsia="仿宋_GB2312"/>
                <w:sz w:val="20"/>
                <w:color w:val="000000"/>
              </w:rPr>
              <w:t>”等</w:t>
            </w:r>
            <w:r>
              <w:rPr>
                <w:rFonts w:ascii="仿宋_GB2312" w:hAnsi="仿宋_GB2312" w:cs="仿宋_GB2312" w:eastAsia="仿宋_GB2312"/>
                <w:sz w:val="20"/>
                <w:color w:val="000000"/>
              </w:rPr>
              <w:t>特色</w:t>
            </w:r>
            <w:r>
              <w:rPr>
                <w:rFonts w:ascii="仿宋_GB2312" w:hAnsi="仿宋_GB2312" w:cs="仿宋_GB2312" w:eastAsia="仿宋_GB2312"/>
                <w:sz w:val="20"/>
                <w:color w:val="000000"/>
              </w:rPr>
              <w:t>学习模块，每个模块具备完整的资源管理、学习记录统计功能，</w:t>
            </w:r>
            <w:r>
              <w:rPr>
                <w:rFonts w:ascii="仿宋_GB2312" w:hAnsi="仿宋_GB2312" w:cs="仿宋_GB2312" w:eastAsia="仿宋_GB2312"/>
                <w:sz w:val="20"/>
                <w:color w:val="000000"/>
              </w:rPr>
              <w:t>“专题培训”</w:t>
            </w:r>
            <w:r>
              <w:rPr>
                <w:rFonts w:ascii="仿宋_GB2312" w:hAnsi="仿宋_GB2312" w:cs="仿宋_GB2312" w:eastAsia="仿宋_GB2312"/>
                <w:sz w:val="20"/>
                <w:color w:val="000000"/>
              </w:rPr>
              <w:t>模块</w:t>
            </w:r>
            <w:r>
              <w:rPr>
                <w:rFonts w:ascii="仿宋_GB2312" w:hAnsi="仿宋_GB2312" w:cs="仿宋_GB2312" w:eastAsia="仿宋_GB2312"/>
                <w:sz w:val="20"/>
                <w:color w:val="000000"/>
              </w:rPr>
              <w:t>配置独立学习规则，</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学习路径规划、进度跟踪</w:t>
            </w:r>
            <w:r>
              <w:rPr>
                <w:rFonts w:ascii="仿宋_GB2312" w:hAnsi="仿宋_GB2312" w:cs="仿宋_GB2312" w:eastAsia="仿宋_GB2312"/>
                <w:sz w:val="20"/>
                <w:color w:val="000000"/>
              </w:rPr>
              <w:t>、</w:t>
            </w:r>
            <w:r>
              <w:rPr>
                <w:rFonts w:ascii="仿宋_GB2312" w:hAnsi="仿宋_GB2312" w:cs="仿宋_GB2312" w:eastAsia="仿宋_GB2312"/>
                <w:sz w:val="20"/>
                <w:color w:val="000000"/>
              </w:rPr>
              <w:t>学习记录统计等功能，</w:t>
            </w:r>
            <w:r>
              <w:rPr>
                <w:rFonts w:ascii="仿宋_GB2312" w:hAnsi="仿宋_GB2312" w:cs="仿宋_GB2312" w:eastAsia="仿宋_GB2312"/>
                <w:sz w:val="20"/>
                <w:color w:val="000000"/>
              </w:rPr>
              <w:t>满足不同业务场景下的培训管理需求。支持不同模块间的权限隔离与内容独立展示，确保学员仅可访问授权模块资源，实现培训内容的精准投放与管理闭环。</w:t>
            </w:r>
          </w:p>
          <w:p>
            <w:pPr>
              <w:pStyle w:val="null3"/>
              <w:ind w:firstLine="400"/>
              <w:jc w:val="left"/>
            </w:pPr>
            <w:r>
              <w:rPr>
                <w:rFonts w:ascii="仿宋_GB2312" w:hAnsi="仿宋_GB2312" w:cs="仿宋_GB2312" w:eastAsia="仿宋_GB2312"/>
                <w:sz w:val="20"/>
                <w:color w:val="000000"/>
              </w:rPr>
              <w:t>直播课堂模块：设立</w:t>
            </w:r>
            <w:r>
              <w:rPr>
                <w:rFonts w:ascii="仿宋_GB2312" w:hAnsi="仿宋_GB2312" w:cs="仿宋_GB2312" w:eastAsia="仿宋_GB2312"/>
                <w:sz w:val="20"/>
                <w:color w:val="000000"/>
              </w:rPr>
              <w:t>可无缝</w:t>
            </w:r>
            <w:r>
              <w:rPr>
                <w:rFonts w:ascii="仿宋_GB2312" w:hAnsi="仿宋_GB2312" w:cs="仿宋_GB2312" w:eastAsia="仿宋_GB2312"/>
                <w:sz w:val="20"/>
                <w:color w:val="000000"/>
              </w:rPr>
              <w:t>对接校内信息化平台</w:t>
            </w:r>
            <w:r>
              <w:rPr>
                <w:rFonts w:ascii="仿宋_GB2312" w:hAnsi="仿宋_GB2312" w:cs="仿宋_GB2312" w:eastAsia="仿宋_GB2312"/>
                <w:sz w:val="20"/>
                <w:color w:val="000000"/>
              </w:rPr>
              <w:t>的</w:t>
            </w:r>
            <w:r>
              <w:rPr>
                <w:rFonts w:ascii="仿宋_GB2312" w:hAnsi="仿宋_GB2312" w:cs="仿宋_GB2312" w:eastAsia="仿宋_GB2312"/>
                <w:sz w:val="20"/>
                <w:color w:val="000000"/>
              </w:rPr>
              <w:t>直播课堂模块，小程序接入信息化平台直播</w:t>
            </w:r>
            <w:r>
              <w:rPr>
                <w:rFonts w:ascii="仿宋_GB2312" w:hAnsi="仿宋_GB2312" w:cs="仿宋_GB2312" w:eastAsia="仿宋_GB2312"/>
                <w:sz w:val="20"/>
                <w:color w:val="000000"/>
              </w:rPr>
              <w:t>链接</w:t>
            </w:r>
            <w:r>
              <w:rPr>
                <w:rFonts w:ascii="仿宋_GB2312" w:hAnsi="仿宋_GB2312" w:cs="仿宋_GB2312" w:eastAsia="仿宋_GB2312"/>
                <w:sz w:val="20"/>
                <w:color w:val="000000"/>
              </w:rPr>
              <w:t>，实现学员在小程序端的直播观看，并根据业务发展动态进行实时调整与匹配。</w:t>
            </w:r>
          </w:p>
          <w:p>
            <w:pPr>
              <w:pStyle w:val="null3"/>
              <w:ind w:firstLine="402"/>
              <w:jc w:val="left"/>
            </w:pPr>
            <w:r>
              <w:rPr>
                <w:rFonts w:ascii="仿宋_GB2312" w:hAnsi="仿宋_GB2312" w:cs="仿宋_GB2312" w:eastAsia="仿宋_GB2312"/>
                <w:sz w:val="20"/>
                <w:b/>
              </w:rPr>
              <w:t>（</w:t>
            </w:r>
            <w:r>
              <w:rPr>
                <w:rFonts w:ascii="仿宋_GB2312" w:hAnsi="仿宋_GB2312" w:cs="仿宋_GB2312" w:eastAsia="仿宋_GB2312"/>
                <w:sz w:val="20"/>
                <w:b/>
              </w:rPr>
              <w:t>二</w:t>
            </w:r>
            <w:r>
              <w:rPr>
                <w:rFonts w:ascii="仿宋_GB2312" w:hAnsi="仿宋_GB2312" w:cs="仿宋_GB2312" w:eastAsia="仿宋_GB2312"/>
                <w:sz w:val="20"/>
                <w:b/>
              </w:rPr>
              <w:t>）用户管理与权限控制要求</w:t>
            </w:r>
          </w:p>
          <w:p>
            <w:pPr>
              <w:pStyle w:val="null3"/>
              <w:ind w:firstLine="400"/>
              <w:jc w:val="left"/>
            </w:pPr>
            <w:r>
              <w:rPr>
                <w:rFonts w:ascii="仿宋_GB2312" w:hAnsi="仿宋_GB2312" w:cs="仿宋_GB2312" w:eastAsia="仿宋_GB2312"/>
                <w:sz w:val="20"/>
              </w:rPr>
              <w:t>权限与内容隔离：不同模块间实现权限隔离与内容独立展示，学员仅可访问授权模块资源；支持按组织架构、用户角色分配资源访问权限，实现精准化培训内容投放</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color w:val="000000"/>
              </w:rPr>
              <w:t>安全与隐私管理：内置</w:t>
            </w:r>
            <w:r>
              <w:rPr>
                <w:rFonts w:ascii="仿宋_GB2312" w:hAnsi="仿宋_GB2312" w:cs="仿宋_GB2312" w:eastAsia="仿宋_GB2312"/>
                <w:sz w:val="20"/>
                <w:color w:val="000000"/>
              </w:rPr>
              <w:t>AI行为识别算法，实时监测学习时长、页面停留、交互频次等维度，自动标记异常学习行为并触发预警机制。保护学员个人信息，严格遵循《个人信息保护法》及教育行业数据安全规范。</w:t>
            </w:r>
          </w:p>
          <w:p>
            <w:pPr>
              <w:pStyle w:val="null3"/>
              <w:ind w:firstLine="402"/>
              <w:jc w:val="left"/>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）数据统计与分析</w:t>
            </w:r>
          </w:p>
          <w:p>
            <w:pPr>
              <w:pStyle w:val="null3"/>
              <w:ind w:firstLine="400"/>
              <w:jc w:val="left"/>
            </w:pPr>
            <w:r>
              <w:rPr>
                <w:rFonts w:ascii="仿宋_GB2312" w:hAnsi="仿宋_GB2312" w:cs="仿宋_GB2312" w:eastAsia="仿宋_GB2312"/>
                <w:sz w:val="20"/>
              </w:rPr>
              <w:t>数据监测一览：实现新兴领域从业人员网络学习平台学员学习动态监测，</w:t>
            </w:r>
            <w:r>
              <w:rPr>
                <w:rFonts w:ascii="仿宋_GB2312" w:hAnsi="仿宋_GB2312" w:cs="仿宋_GB2312" w:eastAsia="仿宋_GB2312"/>
                <w:sz w:val="20"/>
              </w:rPr>
              <w:t>图表</w:t>
            </w:r>
            <w:r>
              <w:rPr>
                <w:rFonts w:ascii="仿宋_GB2312" w:hAnsi="仿宋_GB2312" w:cs="仿宋_GB2312" w:eastAsia="仿宋_GB2312"/>
                <w:sz w:val="20"/>
              </w:rPr>
              <w:t>展示不同群体整体数据。</w:t>
            </w:r>
          </w:p>
          <w:p>
            <w:pPr>
              <w:pStyle w:val="null3"/>
              <w:ind w:firstLine="400"/>
            </w:pPr>
            <w:r>
              <w:rPr>
                <w:rFonts w:ascii="仿宋_GB2312" w:hAnsi="仿宋_GB2312" w:cs="仿宋_GB2312" w:eastAsia="仿宋_GB2312"/>
                <w:sz w:val="20"/>
                <w:color w:val="000000"/>
              </w:rPr>
              <w:t>数据筛选与展示：支持按不同模块（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技能提升</w:t>
            </w:r>
            <w:r>
              <w:rPr>
                <w:rFonts w:ascii="仿宋_GB2312" w:hAnsi="仿宋_GB2312" w:cs="仿宋_GB2312" w:eastAsia="仿宋_GB2312"/>
                <w:sz w:val="20"/>
                <w:color w:val="000000"/>
              </w:rPr>
              <w:t>”“专题培训</w:t>
            </w:r>
            <w:r>
              <w:rPr>
                <w:rFonts w:ascii="仿宋_GB2312" w:hAnsi="仿宋_GB2312" w:cs="仿宋_GB2312" w:eastAsia="仿宋_GB2312"/>
                <w:sz w:val="20"/>
                <w:color w:val="000000"/>
              </w:rPr>
              <w:t>”等</w:t>
            </w:r>
            <w:r>
              <w:rPr>
                <w:rFonts w:ascii="仿宋_GB2312" w:hAnsi="仿宋_GB2312" w:cs="仿宋_GB2312" w:eastAsia="仿宋_GB2312"/>
                <w:sz w:val="20"/>
                <w:color w:val="000000"/>
              </w:rPr>
              <w:t>）、不同批次学员整体数据</w:t>
            </w:r>
            <w:r>
              <w:rPr>
                <w:rFonts w:ascii="仿宋_GB2312" w:hAnsi="仿宋_GB2312" w:cs="仿宋_GB2312" w:eastAsia="仿宋_GB2312"/>
                <w:sz w:val="20"/>
                <w:color w:val="000000"/>
              </w:rPr>
              <w:t>生成</w:t>
            </w:r>
            <w:r>
              <w:rPr>
                <w:rFonts w:ascii="仿宋_GB2312" w:hAnsi="仿宋_GB2312" w:cs="仿宋_GB2312" w:eastAsia="仿宋_GB2312"/>
                <w:sz w:val="20"/>
                <w:color w:val="000000"/>
              </w:rPr>
              <w:t>；展示不同类别、市（区）、企业的学员数、激活账户人数、未激活账户人数、活跃账户人数、注册率</w:t>
            </w:r>
            <w:r>
              <w:rPr>
                <w:rFonts w:ascii="仿宋_GB2312" w:hAnsi="仿宋_GB2312" w:cs="仿宋_GB2312" w:eastAsia="仿宋_GB2312"/>
                <w:sz w:val="20"/>
                <w:color w:val="000000"/>
              </w:rPr>
              <w:t>、</w:t>
            </w:r>
            <w:r>
              <w:rPr>
                <w:rFonts w:ascii="仿宋_GB2312" w:hAnsi="仿宋_GB2312" w:cs="仿宋_GB2312" w:eastAsia="仿宋_GB2312"/>
                <w:sz w:val="20"/>
                <w:color w:val="000000"/>
              </w:rPr>
              <w:t>模块完成率</w:t>
            </w:r>
            <w:r>
              <w:rPr>
                <w:rFonts w:ascii="仿宋_GB2312" w:hAnsi="仿宋_GB2312" w:cs="仿宋_GB2312" w:eastAsia="仿宋_GB2312"/>
                <w:sz w:val="20"/>
                <w:color w:val="000000"/>
              </w:rPr>
              <w:t>等</w:t>
            </w:r>
            <w:r>
              <w:rPr>
                <w:rFonts w:ascii="仿宋_GB2312" w:hAnsi="仿宋_GB2312" w:cs="仿宋_GB2312" w:eastAsia="仿宋_GB2312"/>
                <w:sz w:val="20"/>
                <w:color w:val="000000"/>
              </w:rPr>
              <w:t>多维度可视化</w:t>
            </w:r>
            <w:r>
              <w:rPr>
                <w:rFonts w:ascii="仿宋_GB2312" w:hAnsi="仿宋_GB2312" w:cs="仿宋_GB2312" w:eastAsia="仿宋_GB2312"/>
                <w:sz w:val="20"/>
                <w:color w:val="000000"/>
              </w:rPr>
              <w:t>数据</w:t>
            </w:r>
            <w:r>
              <w:rPr>
                <w:rFonts w:ascii="仿宋_GB2312" w:hAnsi="仿宋_GB2312" w:cs="仿宋_GB2312" w:eastAsia="仿宋_GB2312"/>
                <w:sz w:val="20"/>
                <w:color w:val="000000"/>
              </w:rPr>
              <w:t>，</w:t>
            </w:r>
            <w:r>
              <w:rPr>
                <w:rFonts w:ascii="仿宋_GB2312" w:hAnsi="仿宋_GB2312" w:cs="仿宋_GB2312" w:eastAsia="仿宋_GB2312"/>
                <w:sz w:val="20"/>
                <w:color w:val="000000"/>
              </w:rPr>
              <w:t>并支持导出</w:t>
            </w:r>
            <w:r>
              <w:rPr>
                <w:rFonts w:ascii="仿宋_GB2312" w:hAnsi="仿宋_GB2312" w:cs="仿宋_GB2312" w:eastAsia="仿宋_GB2312"/>
                <w:sz w:val="20"/>
                <w:color w:val="000000"/>
              </w:rPr>
              <w:t>Excel报表。</w:t>
            </w:r>
          </w:p>
          <w:p>
            <w:pPr>
              <w:pStyle w:val="null3"/>
              <w:jc w:val="both"/>
            </w:pPr>
            <w:r>
              <w:rPr>
                <w:rFonts w:ascii="仿宋_GB2312" w:hAnsi="仿宋_GB2312" w:cs="仿宋_GB2312" w:eastAsia="仿宋_GB2312"/>
                <w:sz w:val="20"/>
                <w:b/>
              </w:rPr>
              <w:t>三、演示要求</w:t>
            </w:r>
            <w:r>
              <w:rPr>
                <w:rFonts w:ascii="仿宋_GB2312" w:hAnsi="仿宋_GB2312" w:cs="仿宋_GB2312" w:eastAsia="仿宋_GB2312"/>
                <w:sz w:val="20"/>
                <w:b/>
              </w:rPr>
              <w:t>;本项目供应商须进行</w:t>
            </w:r>
            <w:r>
              <w:rPr>
                <w:rFonts w:ascii="仿宋_GB2312" w:hAnsi="仿宋_GB2312" w:cs="仿宋_GB2312" w:eastAsia="仿宋_GB2312"/>
                <w:sz w:val="20"/>
                <w:b/>
              </w:rPr>
              <w:t>真实系统</w:t>
            </w:r>
            <w:r>
              <w:rPr>
                <w:rFonts w:ascii="仿宋_GB2312" w:hAnsi="仿宋_GB2312" w:cs="仿宋_GB2312" w:eastAsia="仿宋_GB2312"/>
                <w:sz w:val="20"/>
                <w:b/>
              </w:rPr>
              <w:t>现场功能演示，放弃演示、无演示或演示内容与本项目采购需求功能无关，其响应文件无效。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完成研发并交付使用，自验收通过之日起免费质保三年。质保期满后，采购人有权选择继续委托成交供应商提供平台运维服务或另行采购运维服务；若委托成交供应商，年度平台维护费不超过合同金额的10%（具体费率由双方根据服务内容、市场行情协商确定，并签订补充合同），每年服务内容、标准、考核指标按合同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验收合格后，乙方向甲方开具合同金额的全额发票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在质保期结束后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投标人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响应文件递交截止时间同开标截止时间，递交地点为西安市唐延路37号class公馆B栋1103室。 2、由于本项目需要进行现场功能演示，请各供应商委派功能演示人员于开标截止时间前抵达西安市唐延路37号class公馆B栋1103室等候演示，未按时到达的供应商视为自动放弃参与演示环节。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或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磋商小组关于启动异常低价投标（响应）审查 1、评审中出现下列情形之一的，磋商小组应当启动异常低价投标（响应）审查程序：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④磋商小组基于专业判断，认为供应商报价过低，有可能影响产品质量或者不能诚信履约的其他情形。 2、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投标（响应）供应商不能提供书面说明、证明材料，或者提供的书面说明、证明材料不能证明其报价合理性的，磋商小组应当将其作为无效投标（响应）处理。 3、供应商提交的相关说明和证明材料，应当加盖供应商公章，在磋商小组要求的时间内进行提交，否则提交的相关证明材料无效。供应商不能证明其投标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分项报价表.docx 标的清单 报价表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售后服务方案.docx 功能演示.docx 报价表 项目实施方案.docx 服务偏离表.docx 资格证明文件.docx 分项报价表.docx 应急预案.docx 项目管理体系及人员配备方案.docx 标的清单 保证金缴纳凭证.docx 商务偏离表.docx 监狱企业的证明文件 技术服务方案.docx 供应商认为有必要说明的其他资料.docx 中小企业声明函 资源授权.docx 需求理解分析及总体设计方案.docx 响应文件封面 质量保障措施及风险控制保障.docx 残疾人福利性单位声明函 业绩统计表.docx 响应函 报价表.docx 投标人承诺书.docx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售后服务方案.docx 功能演示.docx 报价表 项目实施方案.docx 资格证明文件.docx 服务偏离表.docx 分项报价表.docx 应急预案.docx 项目管理体系及人员配备方案.docx 标的清单 保证金缴纳凭证.docx 商务偏离表.docx 监狱企业的证明文件 技术服务方案.docx 供应商认为有必要说明的其他资料.docx 中小企业声明函 资源授权.docx 需求理解分析及总体设计方案.docx 响应文件封面 质量保障措施及风险控制保障.docx 残疾人福利性单位声明函 业绩统计表.docx 响应函 报价表.docx 投标人承诺书.docx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 针对本项目提供完善的技术服务方案，包括但不限于：①平台整体架构与性能设计（包括功能架构设计、数据架构设计、网络架构设计）；②平台开发与资源管理方案；③系统管理与功能要求开发方案；④系统对接方案。 二、评审标准 1、完整性：方案须全面，对评审内容中的各项要求有详细描述； 2、可实施性：切合本项目实际情况，实施步骤清晰、合理； 3、针对性：方案能够紧扣项目实际情况，内容科学合理。 三、赋分依据（满分12分） ①平台整体架构与性能设计：每完全满足一个评审标准得1分，满分3分。 ②平台开发与资源管理方案：每完全满足一个评审标准得1分，满分3分。 ③系统管理与功能要求开发方案：每完全满足一个评审标准得1分，满分3分。 ④系统对接方案：每完全满足一个评审标准得1分，满分3分。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完善的售后服务方案，包括但不限于：①供应商服务承诺（包括服务响应时间、故障问题解决时限、定期回访机制等，且承诺具有可操作性和约束力，能充分保障采购人在服务过程中的权益）；②根据项目需求结合自身能力提供售后服务方案、售后维保人员配置安排计划及维保方案；③资源更新及知识产权保障。 二、评审标准 1、完整性：方案须全面，对评审内容中的各项要求有详细描述； 2、可实施性：切合本项目实际情况，实施步骤清晰、合理； 3、针对性：方案能够紧扣项目实际情况，内容科学合理。 三、赋分依据（满分9分） ①供应商服务承诺：每完全满足一个评审标准得1分，满分3分。 ②售后服务方案、售后维保人员配置安排计划及维保方案：每完全满足一个评审标准得1分，满分3分。 ③资源更新及知识产权保障：每完全满足一个评审标准得1分，满分3分。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各供应商须进行真实系统功能演示，演示内容共8项，每一项演示内容完全满足采购需求计1分，如每一项演示内容不完整、有欠缺或者不演示不计分，由专家自主赋分。 1.独立模块开发：针对“两司两员一主播”等新就业群体独立开发“暖‘新’育见”“技能提升”等特色学习模块，每个模块独立开发模块资源完整，功能齐全，有权限隔离机制。 2.模块化升级与资源管理要求 ①学习资源模块：支持中国精神、党史、强军之路、毛泽东思想概论、党性修养等分类视频管理，实现视频审核、上传、编目、上下架全流程管控；支持多端视频学习，具备播放历史与收藏功能，视频学习对接积分系统实现积分累积。 ②每日一讲模块：每日推送30分钟独家录制视频讲座，主讲人为国内外知名学者、教授。 ③今日荐读模块：每周设定1个主题并附推荐语，每日推荐1本书并附荐书语；支持查看往期图书，提供分享好友、生成海报功能，海报包含图书信息及二维码，扫码可直接阅读。 ④主题书单模块：提供根据节气、节日、纪念日等时间节点精挑细选的主题书单分类；支持书单收藏、分享，图书可直接加入“我的书房”。 3.资源管理：支持单位自有学习视频资源的上传、排序、展示，可对接至三秦终身学习港门户PC端展示；支持学习资源分类的增加、删除、修改、查询、排序，可手动修改分类名称与排序顺序。 4.基础用户管理：支持用户注册、登录（微信授权）；可按账号或手机号查询单位下用户，支持单个添加或批量导入用户（提供标准模板），可查看用户激活状态。 5.分级权限管理：建立省、地市、企业三级权限体系，支持树形层级建设、角色权限分配、组织区域架构管理；各地市联络员可直接通过平台推荐学员、查看管辖区域学习数据；支持组织架构部门排序，可批量导入部门下用户。 6.积分系统 ①积分项配置：提供不少于10种可设置的积分项及对应分值，包括签到、图书添加书房、图书阅读、听书添加书房、听书、期刊添加书房、期刊阅读、绘本添加书房、绘本阅读、学习打卡等。 ②规则管理：积分规则和分值可在后台灵活设置，支持添加、修改、删除积分项；前端需清晰展示积分规则及各积分项对应分值。 ③积分记录：提供个人“积分记录”功能，可查看实时积分明细（含积分增减原因、时间、分值）；支持积分明细导出。 ④积分对接：与积分商城无缝对接，支持积分在线消耗兑换商品，兑换流程清晰，兑换记录实时同步。 7.积分商城管理：包含商品分类管理（添加、编辑）、商品管理（添加、编辑，可设置上下线时间、描述、封面、兑换积分、库存、状态、类别等）、交易记录管理（按用户号、订单号、商品复合查询，记录包含用户名、商品名称、订单号、消耗积分、操作时间、订单状态等）、兑换规则管理（自定义规则，读者可查看）。 8.检索与个人中心功能要求： ①统一检索：实现图书、期刊、讲座、听书、绘本等小程序自带资源的一站式检索，支持关键词检索、分类检索；提供热门搜索词推荐及最近搜索记录。 ②我的书房：聚合展示用户添加的图书、期刊、绘本、听书资源，支持按资源类型筛选；支持资源批量删除，方便用户查找与整理。 ③分享功能：小程序内图书、期刊、讲座、书单等自带资源支持“生成海报”功能，海报包含资源核心信息及二维码，读者扫码即可在线阅读学习。 注：各供应商演示时间共计不得超过20分钟，自评审小组要求开始之时起计算时间。各供应商应在上述规定时间内完成演示部分的全部内容，如因时间问题未能演示完成或中断演示的，由供应商自行承担相关不利风险。各供应商应在开标前提前做好相关演示准备。且各供应商需自行准备相关演示所用的设施设备，并且自行考虑相关外部网络连接等问题，如在开标现场因供应商自身问题而造成的演示停滞、无法演示等情况，由供应商自行承担相关不利风险。</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功能演示.docx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自2023年1月1日以来（以合同签订时间为准），供应商承担过类似项目业绩，每提供一个项目业绩得1分，最高得6分。 注：业绩证明材料以合同的复印件或扫描件加盖公章为准，业绩证明材料不符合要求的不得分。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业绩统计表.docx</w:t>
            </w:r>
          </w:p>
        </w:tc>
      </w:tr>
      <w:tr>
        <w:tc>
          <w:tcPr>
            <w:tcW w:type="dxa" w:w="831"/>
            <w:vMerge/>
          </w:tcPr>
          <w:p/>
        </w:tc>
        <w:tc>
          <w:tcPr>
            <w:tcW w:type="dxa" w:w="1661"/>
          </w:tcPr>
          <w:p>
            <w:pPr>
              <w:pStyle w:val="null3"/>
            </w:pPr>
            <w:r>
              <w:rPr>
                <w:rFonts w:ascii="仿宋_GB2312" w:hAnsi="仿宋_GB2312" w:cs="仿宋_GB2312" w:eastAsia="仿宋_GB2312"/>
              </w:rPr>
              <w:t>需求理解分析及总体设计方案</w:t>
            </w:r>
          </w:p>
        </w:tc>
        <w:tc>
          <w:tcPr>
            <w:tcW w:type="dxa" w:w="2492"/>
          </w:tcPr>
          <w:p>
            <w:pPr>
              <w:pStyle w:val="null3"/>
            </w:pPr>
            <w:r>
              <w:rPr>
                <w:rFonts w:ascii="仿宋_GB2312" w:hAnsi="仿宋_GB2312" w:cs="仿宋_GB2312" w:eastAsia="仿宋_GB2312"/>
              </w:rPr>
              <w:t>一、评审内容 针对本项目提供完善的需求理解分析及总体设计方案，包括但不限于：①项目背景、项目现状理解、项目需求分析、项目升级目标、项目重点难点分析及应对措施；②总体设计方案。 二、评审标准 1、完整性：方案须全面，对评审内容中的各项要求有详细描述； 2、可实施性：切合本项目实际情况，实施步骤清晰、合理； 3、针对性：方案能够紧扣项目实际情况，内容科学合理。 三、赋分依据（满分6分） ①项目背景、项目现状理解、项目需求分析、项目升级目标、项目重点难点分析及应对措施：每完全满足一个评审标准得1分，满分3分。 ②总体设计方案：每完全满足一个评审标准得1分，满分3分。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需求理解分析及总体设计方案.docx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针对本项目提供完善的项目实施方案，包括但不限于①项目整体服务方案；②项目实施计划及组织；③实施进度计划及安排；④阶段工作和关键节点保障措施；⑤项目整体交付、验收方案。 二、评审标准 1、完整性：方案须全面，对评审内容中的各项要求有详细描述； 2、可实施性：切合本项目实际情况，实施步骤清晰、合理； 3、针对性：方案能够紧扣项目实际情况，内容科学合理。 三、赋分依据（满分15分） ①项目整体服务方案：每完全满足一个评审标准得1分，满分3分。 ②项目实施计划及组织：每完全满足一个评审标准得1分，满分3分。 ③实施进度计划及安排：每完全满足一个评审标准得1分，满分3分。 ④阶段工作和关键节点保障措施：每完全满足一个评审标准得1分，满分3分。 ⑤项目整体交付、验收方案：每完全满足一个评审标准得1分，满分3分。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质量保障措施及风险控制保障</w:t>
            </w:r>
          </w:p>
        </w:tc>
        <w:tc>
          <w:tcPr>
            <w:tcW w:type="dxa" w:w="2492"/>
          </w:tcPr>
          <w:p>
            <w:pPr>
              <w:pStyle w:val="null3"/>
            </w:pPr>
            <w:r>
              <w:rPr>
                <w:rFonts w:ascii="仿宋_GB2312" w:hAnsi="仿宋_GB2312" w:cs="仿宋_GB2312" w:eastAsia="仿宋_GB2312"/>
              </w:rPr>
              <w:t>一、评审内容 针对本项目提供完善的质量保障措施及风险控制保障，包括但不限于：①项目实施过程中的质量保障措施；②数据及系统安全保障措施；③系统交付与验收的质量保证；④实施风险控制和管理方案。 二、评审标准 1、完整性：方案须全面，对评审内容中的各项要求有详细描述； 2、可实施性：切合本项目实际情况，实施步骤清晰、合理； 3、针对性：方案能够紧扣项目实际情况，内容科学合理。 三、赋分依据（满分12分） ①项目实施过程中的质量保障措施：每完全满足一个评审标准得1分，满分3分。 ②数据及系统安全保障措施：每完全满足一个评审标准得1分，满分3分。 ③系统交付与验收的质量保证：每完全满足一个评审标准得1分，满分3分。 ④实施风险控制和管理方案：每完全满足一个评审标准得1分，满分3分。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质量保障措施及风险控制保障.docx</w:t>
            </w:r>
          </w:p>
        </w:tc>
      </w:tr>
      <w:tr>
        <w:tc>
          <w:tcPr>
            <w:tcW w:type="dxa" w:w="831"/>
            <w:vMerge/>
          </w:tcPr>
          <w:p/>
        </w:tc>
        <w:tc>
          <w:tcPr>
            <w:tcW w:type="dxa" w:w="1661"/>
          </w:tcPr>
          <w:p>
            <w:pPr>
              <w:pStyle w:val="null3"/>
            </w:pPr>
            <w:r>
              <w:rPr>
                <w:rFonts w:ascii="仿宋_GB2312" w:hAnsi="仿宋_GB2312" w:cs="仿宋_GB2312" w:eastAsia="仿宋_GB2312"/>
              </w:rPr>
              <w:t>项目管理体系及人员配备方案</w:t>
            </w:r>
          </w:p>
        </w:tc>
        <w:tc>
          <w:tcPr>
            <w:tcW w:type="dxa" w:w="2492"/>
          </w:tcPr>
          <w:p>
            <w:pPr>
              <w:pStyle w:val="null3"/>
            </w:pPr>
            <w:r>
              <w:rPr>
                <w:rFonts w:ascii="仿宋_GB2312" w:hAnsi="仿宋_GB2312" w:cs="仿宋_GB2312" w:eastAsia="仿宋_GB2312"/>
              </w:rPr>
              <w:t>一、评审内容 针对本项目提供项目管理体系及人员配备方案，包括但不限于：①项目管理体系；②实施组织机构划分、人员经验；③人员安排方案、岗位分工及职责任务。 二、评审标准 1、完整性：方案须全面，对评审内容中的各项要求有详细描述； 2、可实施性：切合本项目实际情况，实施步骤清晰、合理； 3、针对性：方案能够紧扣项目实际情况，内容科学合理。 三、赋分依据（满分9分） ①项目管理体系：每完全满足一个评审标准得1分，满分3分。 ②实施组织机构划分、人员经验：每完全满足一个评审标准得1分，满分3分。 ③人员安排方案、岗位分工及职责任务：每完全满足一个评审标准得1分，满分3分。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项目管理体系及人员配备方案.docx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针对本项目提供应急预案，包括但不限于：①平台故障紧急处理及突发事件处理方案；②应急服务人员及服务有保障。 二、评审标准 1、完整性：方案须全面，对评审内容中的各项要求有详细描述； 2、可实施性：切合本项目实际情况，实施步骤清晰、合理； 3、针对性：方案能够紧扣项目实际情况，内容科学合理。 三、赋分依据（满分6分） ①平台故障紧急处理及突发事件处理方案：每完全满足一个评审标准得1分，满分3分。 ②应急服务人员及服务有保障：每完全满足一个评审标准得1分，满分3分。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资源授权或协议等证明材料</w:t>
            </w:r>
          </w:p>
        </w:tc>
        <w:tc>
          <w:tcPr>
            <w:tcW w:type="dxa" w:w="2492"/>
          </w:tcPr>
          <w:p>
            <w:pPr>
              <w:pStyle w:val="null3"/>
            </w:pPr>
            <w:r>
              <w:rPr>
                <w:rFonts w:ascii="仿宋_GB2312" w:hAnsi="仿宋_GB2312" w:cs="仿宋_GB2312" w:eastAsia="仿宋_GB2312"/>
              </w:rPr>
              <w:t>资源授权或协议等证明材料：供应商所提供的电子图书、学术视频、期刊等备课资源必须取得相关授权或协议等证明材料。 1.供应商必须提供不少于10份学术视频作者授权或协议等证明材料。完全满足得[1]分，否则得[0]分。 2.供应商必须提供不少于10份电子图书作者授权或协议等证明材料。完全满足得[1]分，否则得[0]分。 3.供应商必须提供不少于5家出版社授权或协议等证明材料。完全满足得[2]分，否则得[0]分。 4.供应商必须提供不少于5家核心期刊授权或协议等证明材料。完全满足得[3]分，否则得[0]分。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资源授权.docx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采用低价优先法计算，即满足磋商文件要求且磋商总报价最低的磋商总报价为评标基准价，其价格为 10分。（因落实政府采购政策进行价格调整的，以调整后的价格计算评标基准价）其他供应商的价格分按照下列公式计算：磋商总报价得分＝（评标基准价/磋商总报价）×10。价格得分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详见附件：需求理解分析及总体设计方案.docx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详见附件：质量保障措施及风险控制保障.docx</w:t>
      </w:r>
    </w:p>
    <w:p>
      <w:pPr>
        <w:pStyle w:val="null3"/>
        <w:ind w:firstLine="960"/>
      </w:pPr>
      <w:r>
        <w:rPr>
          <w:rFonts w:ascii="仿宋_GB2312" w:hAnsi="仿宋_GB2312" w:cs="仿宋_GB2312" w:eastAsia="仿宋_GB2312"/>
        </w:rPr>
        <w:t>详见附件：项目管理体系及人员配备方案.docx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详见附件：资源授权.docx</w:t>
      </w:r>
    </w:p>
    <w:p>
      <w:pPr>
        <w:pStyle w:val="null3"/>
        <w:ind w:firstLine="960"/>
      </w:pPr>
      <w:r>
        <w:rPr>
          <w:rFonts w:ascii="仿宋_GB2312" w:hAnsi="仿宋_GB2312" w:cs="仿宋_GB2312" w:eastAsia="仿宋_GB2312"/>
        </w:rPr>
        <w:t>详见附件：功能演示.docx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