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33F10D">
      <w:pPr>
        <w:pStyle w:val="4"/>
        <w:jc w:val="center"/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en-US" w:eastAsia="zh-CN" w:bidi="ar-SA"/>
        </w:rPr>
        <w:t>质量保障措施</w:t>
      </w:r>
      <w:r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en-US" w:eastAsia="zh-CN" w:bidi="ar-SA"/>
        </w:rPr>
        <w:t>及风险控制保障</w:t>
      </w:r>
    </w:p>
    <w:p w14:paraId="4A04DE7D">
      <w:pPr>
        <w:jc w:val="center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（各供应商根据评审办法，自主编写方案）</w:t>
      </w:r>
    </w:p>
    <w:p w14:paraId="0D2DA0A5">
      <w:pPr>
        <w:pStyle w:val="4"/>
        <w:jc w:val="center"/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41F80"/>
    <w:rsid w:val="3C34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2026-04-01T03:42:00Z</dcterms:created>
  <dc:creator>德仁招标</dc:creator>
  <cp:lastModifiedBy>德仁招标</cp:lastModifiedBy>
  <dcterms:modified xsi:type="dcterms:W3CDTF">2026-04-01T03:43:30Z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EFE9FEC9DDE744E994CA6ED3225C8C9B_11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