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版本号：KY2026-3-09420260421001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学位论文质量监测服务项目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KY2026-3-094</w:t>
      </w:r>
      <w:r>
        <w:br/>
      </w:r>
      <w:r>
        <w:br/>
      </w:r>
      <w:r>
        <w:br/>
      </w:r>
    </w:p>
    <w:p>
      <w:pPr>
        <w:pStyle w:val="null3"/>
        <w:jc w:val="center"/>
        <w:outlineLvl w:val="5"/>
      </w:pPr>
      <w:r>
        <w:rPr>
          <w:rFonts w:ascii="仿宋_GB2312" w:hAnsi="仿宋_GB2312" w:cs="仿宋_GB2312" w:eastAsia="仿宋_GB2312"/>
          <w:sz w:val="15"/>
          <w:b/>
        </w:rPr>
        <w:t>西安工程大学</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学位论文质量监测服务项目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KY2026-3-094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学位论文质量监测服务项目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健全研究生教育质量监督保障机制，提高人才培养和学位授予质量，根据《博士学位论文双盲评审实施细则》、《西安工程大学加强硕士学位论文质量保障体系建设的管理办法》、《西安工程大学硕士学位论文抽检实施办法》、《西安工程大学优秀硕士学位论文评选办法》等文件要求，博硕士研究生学位论文、优秀博硕士学位论文均需采用外单位专家“双盲”方式进行评审。为保证送审的客观、公平与公正，拟选取学位论文网络评审平台提供学位论文质量监测服务平台使用服务、评议专家库和评议过程技术服务，具体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采购包1：1,605,090.00元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采购包1：1,605,090.00元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银行账号：86113010750181502001075</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健全研究生教育质量监督保障机制，提高人才培养和学位授予质量，根据《博士学位论文双盲评审实施细则》、《西安工程大学加强硕士学位论文质量保障体系建设的管理办法》、《西安工程大学硕士学位论文抽检实施办法》、《西安工程大学优秀硕士学位论文评选办法》等文件要求，博硕士研究生学位论文、优秀博硕士学位论文均需采用外单位专家“双盲”方式进行评审。为保证送审的客观、公平与公正，拟选取学位论文网络评审平台提供学位论文质量监测服务平台使用服务、评议专家库和评议过程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1,605,090.00</w:t>
      </w:r>
    </w:p>
    <w:p>
      <w:pPr>
        <w:pStyle w:val="null3"/>
      </w:pPr>
      <w:r>
        <w:rPr>
          <w:rFonts w:ascii="仿宋_GB2312" w:hAnsi="仿宋_GB2312" w:cs="仿宋_GB2312" w:eastAsia="仿宋_GB2312"/>
        </w:rPr>
        <w:t>采购包最高限价（元）: 1,605,090.00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学位论文质量监测服务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1,605,090.00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标的名称：学位论文质量监测服务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1.项目概述：</w:t>
            </w:r>
          </w:p>
          <w:p>
            <w:pPr>
              <w:pStyle w:val="null3"/>
            </w:pPr>
            <w:r>
              <w:rPr>
                <w:rFonts w:ascii="仿宋_GB2312" w:hAnsi="仿宋_GB2312" w:cs="仿宋_GB2312" w:eastAsia="仿宋_GB2312"/>
                <w:sz w:val="21"/>
              </w:rPr>
              <w:t>为健全研究生教育质量监督保障机制，提高人才培养和学位授予质量，根据《博士学位论文双盲评审实施细则》、《西安工程大学加强硕士学位论文质量保障体系建设的管理办法》、《西安工程大学硕士学位论文抽检实施办法》、《西安工程大学优秀硕士学位论文评选办法》等文件要求，博硕士研究生学位论文、优秀博硕士学位论文均需采用外单位专家“双盲”方式进行评审。为保证送审的客观、公平与公正，拟选取学位论文网络评审平台提供学位论文质量监测服务平台使用服务、评议专家库和评议过程技术服务。</w:t>
            </w:r>
          </w:p>
          <w:p>
            <w:pPr>
              <w:pStyle w:val="null3"/>
            </w:pPr>
            <w:r>
              <w:rPr>
                <w:rFonts w:ascii="仿宋_GB2312" w:hAnsi="仿宋_GB2312" w:cs="仿宋_GB2312" w:eastAsia="仿宋_GB2312"/>
                <w:sz w:val="21"/>
              </w:rPr>
              <w:t>本项目合同履行期限(项目完成时限)为在 2027年3月31日前完成本项目全部服务内容。</w:t>
            </w:r>
          </w:p>
          <w:p>
            <w:pPr>
              <w:pStyle w:val="null3"/>
            </w:pPr>
            <w:r>
              <w:rPr>
                <w:rFonts w:ascii="仿宋_GB2312" w:hAnsi="仿宋_GB2312" w:cs="仿宋_GB2312" w:eastAsia="仿宋_GB2312"/>
                <w:sz w:val="21"/>
              </w:rPr>
              <w:t>2026年拟送审量：中文博士论文约25篇次；中文硕士论文约3928篇次。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2.服务内容和标准要求：</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服务内容：</w:t>
            </w:r>
          </w:p>
          <w:p>
            <w:pPr>
              <w:pStyle w:val="null3"/>
            </w:pPr>
            <w:r>
              <w:rPr>
                <w:rFonts w:ascii="仿宋_GB2312" w:hAnsi="仿宋_GB2312" w:cs="仿宋_GB2312" w:eastAsia="仿宋_GB2312"/>
                <w:sz w:val="21"/>
              </w:rPr>
              <w:t>1) 服务方提供学位论文（实践成果）质量监测服务平台，并提供双向盲审服务，包括学位论文信息及材料上传、评阅书设置、专家自动遴选或补充遴选、评议结果下载等，以满足采购人学位论文质量监测工作需求。评议高峰期时可同时处理不少于 8 千篇送评论文。</w:t>
            </w:r>
          </w:p>
          <w:p>
            <w:pPr>
              <w:pStyle w:val="null3"/>
            </w:pPr>
            <w:r>
              <w:rPr>
                <w:rFonts w:ascii="仿宋_GB2312" w:hAnsi="仿宋_GB2312" w:cs="仿宋_GB2312" w:eastAsia="仿宋_GB2312"/>
                <w:sz w:val="21"/>
              </w:rPr>
              <w:t>2) 服务方提供学位论文质量监测辅助服务，协助解决在送评过程中遇到的平台操作问题，关注学位论文评议进度，及时提醒采购人完成送评流程。</w:t>
            </w:r>
          </w:p>
          <w:p>
            <w:pPr>
              <w:pStyle w:val="null3"/>
            </w:pPr>
            <w:r>
              <w:rPr>
                <w:rFonts w:ascii="仿宋_GB2312" w:hAnsi="仿宋_GB2312" w:cs="仿宋_GB2312" w:eastAsia="仿宋_GB2312"/>
                <w:sz w:val="21"/>
              </w:rPr>
              <w:t>3) 服务方应及时响应和解决采购人提出的平台技术问题，定期收集研判采购人的功能需求和建议，对平台功能及时升级优化，为采购人开展学位论文评议工作提供技术保障。</w:t>
            </w:r>
          </w:p>
          <w:p>
            <w:pPr>
              <w:pStyle w:val="null3"/>
            </w:pPr>
            <w:r>
              <w:rPr>
                <w:rFonts w:ascii="仿宋_GB2312" w:hAnsi="仿宋_GB2312" w:cs="仿宋_GB2312" w:eastAsia="仿宋_GB2312"/>
                <w:sz w:val="21"/>
              </w:rPr>
              <w:t>4) 服务方提供年度学位论文评议情况统计报告，内容包括学位论文送评情况、学位论文评议结果、服务费使用情况，对学校学位论文质量监测工作的建议等。</w:t>
            </w:r>
          </w:p>
          <w:p>
            <w:pPr>
              <w:pStyle w:val="null3"/>
            </w:pPr>
            <w:r>
              <w:rPr>
                <w:rFonts w:ascii="仿宋_GB2312" w:hAnsi="仿宋_GB2312" w:cs="仿宋_GB2312" w:eastAsia="仿宋_GB2312"/>
                <w:sz w:val="21"/>
              </w:rPr>
              <w:t>5) 服务方在合同履行期满后，对已收回全部专家评议意见的学位论文进行数据归档。</w:t>
            </w:r>
          </w:p>
          <w:p>
            <w:pPr>
              <w:pStyle w:val="null3"/>
            </w:pPr>
            <w:r>
              <w:rPr>
                <w:rFonts w:ascii="仿宋_GB2312" w:hAnsi="仿宋_GB2312" w:cs="仿宋_GB2312" w:eastAsia="仿宋_GB2312"/>
                <w:sz w:val="21"/>
              </w:rPr>
              <w:t>6) 服务方应确保服务过程中的信息安全，保证论文评议过程的保密性和送审论文的学术成果安全性。</w:t>
            </w:r>
          </w:p>
          <w:p>
            <w:pPr>
              <w:pStyle w:val="null3"/>
            </w:pPr>
            <w:r>
              <w:rPr>
                <w:rFonts w:ascii="仿宋_GB2312" w:hAnsi="仿宋_GB2312" w:cs="仿宋_GB2312" w:eastAsia="仿宋_GB2312"/>
                <w:sz w:val="21"/>
              </w:rPr>
              <w:t>7)与学位论文质量监测服务相关的其他服务。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服务标准及要求：</w:t>
            </w:r>
          </w:p>
          <w:p>
            <w:pPr>
              <w:pStyle w:val="null3"/>
            </w:pPr>
            <w:r>
              <w:rPr>
                <w:rFonts w:ascii="仿宋_GB2312" w:hAnsi="仿宋_GB2312" w:cs="仿宋_GB2312" w:eastAsia="仿宋_GB2312"/>
                <w:sz w:val="21"/>
                <w:b/>
              </w:rPr>
              <w:t>1) 平台支持自动专家遴选功能：</w:t>
            </w:r>
          </w:p>
          <w:p>
            <w:pPr>
              <w:pStyle w:val="null3"/>
            </w:pPr>
            <w:r>
              <w:rPr>
                <w:rFonts w:ascii="仿宋_GB2312" w:hAnsi="仿宋_GB2312" w:cs="仿宋_GB2312" w:eastAsia="仿宋_GB2312"/>
                <w:sz w:val="21"/>
              </w:rPr>
              <w:t>a）根据论文的类别，学科，研究方向，关键词等信息自动遴选相关专家进行评审。在自动遴选过程中，系统应显示自动遴选未开始、自动遴选成功、自动遴选失败、自动遴选总数、缺少专家总数等实时信息。</w:t>
            </w:r>
          </w:p>
          <w:p>
            <w:pPr>
              <w:pStyle w:val="null3"/>
            </w:pPr>
            <w:r>
              <w:rPr>
                <w:rFonts w:ascii="仿宋_GB2312" w:hAnsi="仿宋_GB2312" w:cs="仿宋_GB2312" w:eastAsia="仿宋_GB2312"/>
                <w:sz w:val="21"/>
              </w:rPr>
              <w:t>b）至少提供一级学科、二级学科、研究方向、关键词、题目、摘要等要素相结合的遴选方式；针对部分小学科、学科交叉论文等情形，提供基于语义分析的智能专家遴选方式，进行语义信息的匹配；</w:t>
            </w:r>
          </w:p>
          <w:p>
            <w:pPr>
              <w:pStyle w:val="null3"/>
            </w:pPr>
            <w:r>
              <w:rPr>
                <w:rFonts w:ascii="仿宋_GB2312" w:hAnsi="仿宋_GB2312" w:cs="仿宋_GB2312" w:eastAsia="仿宋_GB2312"/>
                <w:sz w:val="21"/>
              </w:rPr>
              <w:t>c）自动遴选失败时，系统应给出遴选失败的原因，如专家拒评过多或无法匹配合适的专家等。</w:t>
            </w:r>
          </w:p>
          <w:p>
            <w:pPr>
              <w:pStyle w:val="null3"/>
            </w:pPr>
            <w:r>
              <w:rPr>
                <w:rFonts w:ascii="仿宋_GB2312" w:hAnsi="仿宋_GB2312" w:cs="仿宋_GB2312" w:eastAsia="仿宋_GB2312"/>
                <w:sz w:val="21"/>
                <w:b/>
              </w:rPr>
              <w:t>2) 平台具有按照以下特定条件进行专家自动遴选的功能：</w:t>
            </w:r>
          </w:p>
          <w:p>
            <w:pPr>
              <w:pStyle w:val="null3"/>
            </w:pPr>
            <w:r>
              <w:rPr>
                <w:rFonts w:ascii="仿宋_GB2312" w:hAnsi="仿宋_GB2312" w:cs="仿宋_GB2312" w:eastAsia="仿宋_GB2312"/>
                <w:sz w:val="21"/>
              </w:rPr>
              <w:t>a）学术学位论文和专业学位论文分别在学位论文所属《研究生教育学科专业目录》的一级学科和专业学位类别范围内遴选专家。</w:t>
            </w:r>
          </w:p>
          <w:p>
            <w:pPr>
              <w:pStyle w:val="null3"/>
            </w:pPr>
            <w:r>
              <w:rPr>
                <w:rFonts w:ascii="仿宋_GB2312" w:hAnsi="仿宋_GB2312" w:cs="仿宋_GB2312" w:eastAsia="仿宋_GB2312"/>
                <w:sz w:val="21"/>
              </w:rPr>
              <w:t>b）遴选专家所在单位类型：“双一流”建设高校和科研院所优先；其次一流大学建设高校、一流学科建设高校、科研院所和非“双一流”建设高校及其他高校；当所选单位类型的专家无法满足遴选需求时，平台自动在其他类型单位的专家中遴选。</w:t>
            </w:r>
          </w:p>
          <w:p>
            <w:pPr>
              <w:pStyle w:val="null3"/>
            </w:pPr>
            <w:r>
              <w:rPr>
                <w:rFonts w:ascii="仿宋_GB2312" w:hAnsi="仿宋_GB2312" w:cs="仿宋_GB2312" w:eastAsia="仿宋_GB2312"/>
                <w:sz w:val="21"/>
              </w:rPr>
              <w:t>c）按照学位论文的研究方向、关键词、题目、摘要与专家研究方向进行匹配，如甲方在送评过程中对学位论文的研究方向进行修正，平台自动依据修正后的研究方向进行匹配。</w:t>
            </w:r>
          </w:p>
          <w:p>
            <w:pPr>
              <w:pStyle w:val="null3"/>
            </w:pPr>
            <w:r>
              <w:rPr>
                <w:rFonts w:ascii="仿宋_GB2312" w:hAnsi="仿宋_GB2312" w:cs="仿宋_GB2312" w:eastAsia="仿宋_GB2312"/>
                <w:sz w:val="21"/>
              </w:rPr>
              <w:t>d）回避采购人专家（含兼职）。</w:t>
            </w:r>
          </w:p>
          <w:p>
            <w:pPr>
              <w:pStyle w:val="null3"/>
            </w:pPr>
            <w:r>
              <w:rPr>
                <w:rFonts w:ascii="仿宋_GB2312" w:hAnsi="仿宋_GB2312" w:cs="仿宋_GB2312" w:eastAsia="仿宋_GB2312"/>
                <w:sz w:val="21"/>
              </w:rPr>
              <w:t>e）博士学位论文遴选：博士生导师；硕士学位论文优先遴选硕士生导师，当硕士生导师不足时，遴选博士生导师。</w:t>
            </w:r>
          </w:p>
          <w:p>
            <w:pPr>
              <w:pStyle w:val="null3"/>
            </w:pPr>
            <w:r>
              <w:rPr>
                <w:rFonts w:ascii="仿宋_GB2312" w:hAnsi="仿宋_GB2312" w:cs="仿宋_GB2312" w:eastAsia="仿宋_GB2312"/>
                <w:sz w:val="21"/>
              </w:rPr>
              <w:t>f）学术学位论文遴选学术学位导师；专业学位论文遴选专业学位导师。</w:t>
            </w:r>
          </w:p>
          <w:p>
            <w:pPr>
              <w:pStyle w:val="null3"/>
            </w:pPr>
            <w:r>
              <w:rPr>
                <w:rFonts w:ascii="仿宋_GB2312" w:hAnsi="仿宋_GB2312" w:cs="仿宋_GB2312" w:eastAsia="仿宋_GB2312"/>
                <w:sz w:val="21"/>
              </w:rPr>
              <w:t>g）在符合以上条件的专家中随机遴选学位论文评议专家。</w:t>
            </w:r>
          </w:p>
          <w:p>
            <w:pPr>
              <w:pStyle w:val="null3"/>
            </w:pPr>
            <w:r>
              <w:rPr>
                <w:rFonts w:ascii="仿宋_GB2312" w:hAnsi="仿宋_GB2312" w:cs="仿宋_GB2312" w:eastAsia="仿宋_GB2312"/>
                <w:sz w:val="21"/>
                <w:b/>
              </w:rPr>
              <w:t>3) 平台支持补充遴选功能：</w:t>
            </w:r>
          </w:p>
          <w:p>
            <w:pPr>
              <w:pStyle w:val="null3"/>
            </w:pPr>
            <w:r>
              <w:rPr>
                <w:rFonts w:ascii="仿宋_GB2312" w:hAnsi="仿宋_GB2312" w:cs="仿宋_GB2312" w:eastAsia="仿宋_GB2312"/>
                <w:sz w:val="21"/>
              </w:rPr>
              <w:t>a）对于自动遴选无法找到合适评议专家的论文，将自动转入补充遴选。</w:t>
            </w:r>
          </w:p>
          <w:p>
            <w:pPr>
              <w:pStyle w:val="null3"/>
            </w:pPr>
            <w:r>
              <w:rPr>
                <w:rFonts w:ascii="仿宋_GB2312" w:hAnsi="仿宋_GB2312" w:cs="仿宋_GB2312" w:eastAsia="仿宋_GB2312"/>
                <w:sz w:val="21"/>
              </w:rPr>
              <w:t>b）至少支持分词遴选方式和语义分析遴选方式两种方式相互切换。</w:t>
            </w:r>
          </w:p>
          <w:p>
            <w:pPr>
              <w:pStyle w:val="null3"/>
            </w:pPr>
            <w:r>
              <w:rPr>
                <w:rFonts w:ascii="仿宋_GB2312" w:hAnsi="仿宋_GB2312" w:cs="仿宋_GB2312" w:eastAsia="仿宋_GB2312"/>
                <w:sz w:val="21"/>
              </w:rPr>
              <w:t>c）补充遴选失败时，支持通过修改论文的研究方向再次将论文转入自动遴选，或通过自定义的遴选规则来手动选择专家进行评审。</w:t>
            </w:r>
          </w:p>
          <w:p>
            <w:pPr>
              <w:pStyle w:val="null3"/>
            </w:pPr>
            <w:r>
              <w:rPr>
                <w:rFonts w:ascii="仿宋_GB2312" w:hAnsi="仿宋_GB2312" w:cs="仿宋_GB2312" w:eastAsia="仿宋_GB2312"/>
                <w:sz w:val="21"/>
                <w:b/>
              </w:rPr>
              <w:t>4) 平台具有按照以下特定条件进行专家补充遴选的功能：</w:t>
            </w:r>
          </w:p>
          <w:p>
            <w:pPr>
              <w:pStyle w:val="null3"/>
            </w:pPr>
            <w:r>
              <w:rPr>
                <w:rFonts w:ascii="仿宋_GB2312" w:hAnsi="仿宋_GB2312" w:cs="仿宋_GB2312" w:eastAsia="仿宋_GB2312"/>
                <w:sz w:val="21"/>
              </w:rPr>
              <w:t>a）支持在平台内对专家遴选规则进行删减或补充，形成个性化专家补充遴选方案；</w:t>
            </w:r>
          </w:p>
          <w:p>
            <w:pPr>
              <w:pStyle w:val="null3"/>
            </w:pPr>
            <w:r>
              <w:rPr>
                <w:rFonts w:ascii="仿宋_GB2312" w:hAnsi="仿宋_GB2312" w:cs="仿宋_GB2312" w:eastAsia="仿宋_GB2312"/>
                <w:sz w:val="21"/>
              </w:rPr>
              <w:t>b）支持申请跨一级学科进行专家遴选，经申请并在平台中完成备案后，在“补充遴选”方案中“忽略”或“指定”一级学科进行专家遴选。</w:t>
            </w:r>
          </w:p>
          <w:p>
            <w:pPr>
              <w:pStyle w:val="null3"/>
            </w:pPr>
            <w:r>
              <w:rPr>
                <w:rFonts w:ascii="仿宋_GB2312" w:hAnsi="仿宋_GB2312" w:cs="仿宋_GB2312" w:eastAsia="仿宋_GB2312"/>
                <w:sz w:val="21"/>
              </w:rPr>
              <w:t>5) 平台支持信息交互功能：至少支持评议专家信息通知或提醒；支持与评议专家交流学术意见以外的问题，如：评议意见文字表述或格式错误、平台操作等问题。</w:t>
            </w:r>
          </w:p>
          <w:p>
            <w:pPr>
              <w:pStyle w:val="null3"/>
            </w:pPr>
            <w:r>
              <w:rPr>
                <w:rFonts w:ascii="仿宋_GB2312" w:hAnsi="仿宋_GB2312" w:cs="仿宋_GB2312" w:eastAsia="仿宋_GB2312"/>
                <w:sz w:val="21"/>
              </w:rPr>
              <w:t>6) 平台支持监测过程中各环节相应的电子功能：如向评议专家提供参评确认信息、评议材料阅读、评阅意见填写、评议结果提交等功能。</w:t>
            </w:r>
          </w:p>
          <w:p>
            <w:pPr>
              <w:pStyle w:val="null3"/>
            </w:pPr>
            <w:r>
              <w:rPr>
                <w:rFonts w:ascii="仿宋_GB2312" w:hAnsi="仿宋_GB2312" w:cs="仿宋_GB2312" w:eastAsia="仿宋_GB2312"/>
                <w:sz w:val="21"/>
              </w:rPr>
              <w:t>7) 平台支持自定义评阅书功能：采购人自定义评阅书的打分规则、内容及版式；评阅书支持预览和下载样例，支持在线模拟评议专家打分操作验证功能。</w:t>
            </w:r>
          </w:p>
          <w:p>
            <w:pPr>
              <w:pStyle w:val="null3"/>
            </w:pPr>
            <w:r>
              <w:rPr>
                <w:rFonts w:ascii="仿宋_GB2312" w:hAnsi="仿宋_GB2312" w:cs="仿宋_GB2312" w:eastAsia="仿宋_GB2312"/>
                <w:sz w:val="21"/>
              </w:rPr>
              <w:t>8) 平台支持预览和批量导出 PDF 格式评阅书功能：支持单个评阅书阅览及批量导出评阅书；导出的评阅书应自带学校 logo 或平台信息等保护水印。</w:t>
            </w:r>
          </w:p>
          <w:p>
            <w:pPr>
              <w:pStyle w:val="null3"/>
            </w:pPr>
            <w:r>
              <w:rPr>
                <w:rFonts w:ascii="仿宋_GB2312" w:hAnsi="仿宋_GB2312" w:cs="仿宋_GB2312" w:eastAsia="仿宋_GB2312"/>
                <w:sz w:val="21"/>
              </w:rPr>
              <w:t>9) 平台支持数据归档功能：数据归档后支持查看、下载学位论文及专家评议意见。</w:t>
            </w:r>
          </w:p>
          <w:p>
            <w:pPr>
              <w:pStyle w:val="null3"/>
            </w:pPr>
            <w:r>
              <w:rPr>
                <w:rFonts w:ascii="仿宋_GB2312" w:hAnsi="仿宋_GB2312" w:cs="仿宋_GB2312" w:eastAsia="仿宋_GB2312"/>
                <w:sz w:val="21"/>
              </w:rPr>
              <w:t>10) 投标人应为采购人开通一个平台一级账户，该账户由负责学位论文质量监测工作的管理人员使用。</w:t>
            </w:r>
          </w:p>
          <w:p>
            <w:pPr>
              <w:pStyle w:val="null3"/>
            </w:pPr>
            <w:r>
              <w:rPr>
                <w:rFonts w:ascii="仿宋_GB2312" w:hAnsi="仿宋_GB2312" w:cs="仿宋_GB2312" w:eastAsia="仿宋_GB2312"/>
                <w:sz w:val="21"/>
              </w:rPr>
              <w:t>11) 投标人应为采购人开通一级账户下的二级账户，由采购人自主进行二级账户管理。包括：</w:t>
            </w:r>
          </w:p>
          <w:p>
            <w:pPr>
              <w:pStyle w:val="null3"/>
            </w:pPr>
            <w:r>
              <w:rPr>
                <w:rFonts w:ascii="仿宋_GB2312" w:hAnsi="仿宋_GB2312" w:cs="仿宋_GB2312" w:eastAsia="仿宋_GB2312"/>
                <w:sz w:val="21"/>
              </w:rPr>
              <w:t>a）开通、冻结二级账户，二级账户数量不少于采购人二级学院（系）总数,即13个。</w:t>
            </w:r>
          </w:p>
          <w:p>
            <w:pPr>
              <w:pStyle w:val="null3"/>
            </w:pPr>
            <w:r>
              <w:rPr>
                <w:rFonts w:ascii="仿宋_GB2312" w:hAnsi="仿宋_GB2312" w:cs="仿宋_GB2312" w:eastAsia="仿宋_GB2312"/>
                <w:sz w:val="21"/>
              </w:rPr>
              <w:t>b）二级账户的功能权限包括学位论文信息及材料上传、指定评阅书送评、专家遴选及评议结果下载等。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3、报价要求及考核标准</w:t>
            </w:r>
          </w:p>
          <w:p>
            <w:pPr>
              <w:pStyle w:val="null3"/>
            </w:pPr>
            <w:r>
              <w:rPr>
                <w:rFonts w:ascii="仿宋_GB2312" w:hAnsi="仿宋_GB2312" w:cs="仿宋_GB2312" w:eastAsia="仿宋_GB2312"/>
                <w:sz w:val="21"/>
              </w:rPr>
              <w:t>1) 四种论文类型最高限价为：</w:t>
            </w:r>
          </w:p>
          <w:tbl>
            <w:tblPr>
              <w:tblBorders>
                <w:top w:val="none" w:color="000000" w:sz="4"/>
                <w:left w:val="none" w:color="000000" w:sz="4"/>
                <w:bottom w:val="none" w:color="000000" w:sz="4"/>
                <w:right w:val="none" w:color="000000" w:sz="4"/>
                <w:insideH w:val="none"/>
                <w:insideV w:val="none"/>
              </w:tblBorders>
            </w:tblPr>
            <w:tblGrid>
              <w:gridCol w:w="818"/>
              <w:gridCol w:w="813"/>
              <w:gridCol w:w="922"/>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最高限价（元/篇次）</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论文类型</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中文撰写论文</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外文撰写论文</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博士</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570</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硕士</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405</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r>
          </w:tbl>
          <w:p>
            <w:pPr>
              <w:pStyle w:val="null3"/>
            </w:pPr>
            <w:r>
              <w:rPr>
                <w:rFonts w:ascii="仿宋_GB2312" w:hAnsi="仿宋_GB2312" w:cs="仿宋_GB2312" w:eastAsia="仿宋_GB2312"/>
                <w:sz w:val="21"/>
              </w:rPr>
              <w:t>2)总额依据论文送审单价与送审学位论文篇次数量进行计算，根据实际送审篇次结算。</w:t>
            </w:r>
          </w:p>
          <w:p>
            <w:pPr>
              <w:pStyle w:val="null3"/>
            </w:pPr>
            <w:r>
              <w:rPr>
                <w:rFonts w:ascii="仿宋_GB2312" w:hAnsi="仿宋_GB2312" w:cs="仿宋_GB2312" w:eastAsia="仿宋_GB2312"/>
                <w:sz w:val="21"/>
              </w:rPr>
              <w:t>3)在合同期满前，学校对学位论文送审平台的评审质量、评审效率和服务质量进行评估，在满足以下条件基础上，可续签合同，但累计合同履行期限不超过3年：</w:t>
            </w:r>
          </w:p>
          <w:p>
            <w:pPr>
              <w:pStyle w:val="null3"/>
            </w:pPr>
            <w:r>
              <w:rPr>
                <w:rFonts w:ascii="仿宋_GB2312" w:hAnsi="仿宋_GB2312" w:cs="仿宋_GB2312" w:eastAsia="仿宋_GB2312"/>
                <w:sz w:val="21"/>
              </w:rPr>
              <w:t>①送审单价不变；</w:t>
            </w:r>
          </w:p>
          <w:p>
            <w:pPr>
              <w:pStyle w:val="null3"/>
            </w:pPr>
            <w:r>
              <w:rPr>
                <w:rFonts w:ascii="仿宋_GB2312" w:hAnsi="仿宋_GB2312" w:cs="仿宋_GB2312" w:eastAsia="仿宋_GB2312"/>
                <w:sz w:val="21"/>
              </w:rPr>
              <w:t>②按时高效完成博硕士论文评审，无严重超期情况；</w:t>
            </w:r>
          </w:p>
          <w:p>
            <w:pPr>
              <w:pStyle w:val="null3"/>
            </w:pPr>
            <w:r>
              <w:rPr>
                <w:rFonts w:ascii="仿宋_GB2312" w:hAnsi="仿宋_GB2312" w:cs="仿宋_GB2312" w:eastAsia="仿宋_GB2312"/>
                <w:sz w:val="21"/>
              </w:rPr>
              <w:t>③及时处理评审异议论文，并设立负面专家清单；</w:t>
            </w:r>
          </w:p>
          <w:p>
            <w:pPr>
              <w:pStyle w:val="null3"/>
            </w:pPr>
            <w:r>
              <w:rPr>
                <w:rFonts w:ascii="仿宋_GB2312" w:hAnsi="仿宋_GB2312" w:cs="仿宋_GB2312" w:eastAsia="仿宋_GB2312"/>
                <w:sz w:val="21"/>
              </w:rPr>
              <w:t>④提供年度学位论文评议情况统计报告及学位论文质量监测工作建议；</w:t>
            </w:r>
          </w:p>
          <w:p>
            <w:pPr>
              <w:pStyle w:val="null3"/>
            </w:pPr>
            <w:r>
              <w:rPr>
                <w:rFonts w:ascii="仿宋_GB2312" w:hAnsi="仿宋_GB2312" w:cs="仿宋_GB2312" w:eastAsia="仿宋_GB2312"/>
                <w:sz w:val="21"/>
              </w:rPr>
              <w:t>⑤每年对校级管理员和院级管理员至少进行一次平台操作培训，并提供和更新平台操作规程。</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服务期限：协议签订之日起至2027年3月31日，甲方对乙方服务满意后，后续预算已落实且乙方也愿意按原中标价续签的情况下，甲方可选择与乙方续签，总服务期不超过三年。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第一次支付金额为协议总金额的60%，协议签订后30个工作日内完成支付</w:t>
      </w:r>
      <w:r>
        <w:rPr>
          <w:rFonts w:ascii="仿宋_GB2312" w:hAnsi="仿宋_GB2312" w:cs="仿宋_GB2312" w:eastAsia="仿宋_GB2312"/>
        </w:rPr>
        <w:t xml:space="preserve"> ，达到付款条件起 </w:t>
      </w:r>
      <w:r>
        <w:rPr>
          <w:rFonts w:ascii="仿宋_GB2312" w:hAnsi="仿宋_GB2312" w:cs="仿宋_GB2312" w:eastAsia="仿宋_GB2312"/>
        </w:rPr>
        <w:t>42</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第二次根据实际送审篇次结算费用，在平台下载《结算说明》并于2026年12月31日前完成支付，乙方根据《结算说明》开具增值税普通发票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499094051@qq.com，并以邮件接收时间为退付的基准时间。 3、单一来源采购文件中所有的商务要求均为实质性要求，供应商必须响应并满足。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商务应答表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