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AF7211">
      <w:pPr>
        <w:keepNext/>
        <w:keepLines/>
        <w:spacing w:line="360" w:lineRule="auto"/>
        <w:jc w:val="center"/>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供应商应提交的相关资格证明材料</w:t>
      </w:r>
    </w:p>
    <w:p w14:paraId="2F29FD9F">
      <w:pPr>
        <w:pStyle w:val="2"/>
        <w:rPr>
          <w:rFonts w:hint="eastAsia" w:ascii="仿宋_GB2312" w:hAnsi="仿宋_GB2312" w:eastAsia="仿宋_GB2312" w:cs="仿宋_GB2312"/>
          <w:b/>
          <w:bCs/>
          <w:sz w:val="24"/>
          <w:szCs w:val="24"/>
        </w:rPr>
      </w:pPr>
    </w:p>
    <w:p w14:paraId="792E9585">
      <w:pPr>
        <w:pStyle w:val="2"/>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供应商按</w:t>
      </w:r>
      <w:r>
        <w:rPr>
          <w:rFonts w:hint="eastAsia" w:ascii="仿宋_GB2312" w:hAnsi="仿宋_GB2312" w:eastAsia="仿宋_GB2312" w:cs="仿宋_GB2312"/>
          <w:b/>
          <w:bCs/>
          <w:sz w:val="24"/>
          <w:szCs w:val="24"/>
          <w:lang w:eastAsia="zh-CN"/>
        </w:rPr>
        <w:t>磋商</w:t>
      </w:r>
      <w:r>
        <w:rPr>
          <w:rFonts w:hint="eastAsia" w:ascii="仿宋_GB2312" w:hAnsi="仿宋_GB2312" w:eastAsia="仿宋_GB2312" w:cs="仿宋_GB2312"/>
          <w:b/>
          <w:bCs/>
          <w:sz w:val="24"/>
          <w:szCs w:val="24"/>
        </w:rPr>
        <w:t>文件要求，应提供以下相关资格证明材料：</w:t>
      </w:r>
    </w:p>
    <w:p w14:paraId="232AE522">
      <w:pPr>
        <w:pStyle w:val="5"/>
        <w:pageBreakBefore w:val="0"/>
        <w:numPr>
          <w:ilvl w:val="0"/>
          <w:numId w:val="1"/>
        </w:numPr>
        <w:overflowPunct/>
        <w:topLinePunct w:val="0"/>
        <w:bidi w:val="0"/>
        <w:adjustRightInd w:val="0"/>
        <w:snapToGrid w:val="0"/>
        <w:spacing w:before="0" w:beforeAutospacing="0" w:after="0" w:afterAutospacing="0" w:line="360" w:lineRule="auto"/>
        <w:ind w:firstLine="480" w:firstLineChars="200"/>
        <w:rPr>
          <w:rFonts w:hint="eastAsia" w:ascii="仿宋_GB2312" w:hAnsi="仿宋_GB2312" w:eastAsia="仿宋_GB2312" w:cs="仿宋_GB2312"/>
          <w:color w:val="auto"/>
          <w:sz w:val="24"/>
          <w:szCs w:val="24"/>
          <w:lang w:bidi="ar"/>
        </w:rPr>
      </w:pPr>
      <w:r>
        <w:rPr>
          <w:rFonts w:hint="eastAsia" w:ascii="仿宋_GB2312" w:hAnsi="仿宋_GB2312" w:eastAsia="仿宋_GB2312" w:cs="仿宋_GB2312"/>
          <w:color w:val="auto"/>
          <w:sz w:val="24"/>
          <w:szCs w:val="24"/>
          <w:lang w:bidi="ar"/>
        </w:rPr>
        <w:t xml:space="preserve">供应商应具有独立承担民事责任能力的法人、其他组织或自然人，并出具合法有效的营业执照或事业单位法人证书等国家规定的相关证明，自然人参与的提供其身份证明；  </w:t>
      </w:r>
    </w:p>
    <w:p w14:paraId="186FAFD6">
      <w:pPr>
        <w:pStyle w:val="5"/>
        <w:pageBreakBefore w:val="0"/>
        <w:numPr>
          <w:ilvl w:val="0"/>
          <w:numId w:val="0"/>
        </w:numPr>
        <w:overflowPunct/>
        <w:topLinePunct w:val="0"/>
        <w:bidi w:val="0"/>
        <w:adjustRightInd w:val="0"/>
        <w:snapToGrid w:val="0"/>
        <w:spacing w:before="0" w:beforeAutospacing="0" w:after="0" w:afterAutospacing="0" w:line="360" w:lineRule="auto"/>
        <w:ind w:firstLine="480" w:firstLineChars="200"/>
        <w:rPr>
          <w:rFonts w:hint="eastAsia" w:ascii="仿宋_GB2312" w:hAnsi="仿宋_GB2312" w:eastAsia="仿宋_GB2312" w:cs="仿宋_GB2312"/>
          <w:color w:val="auto"/>
          <w:sz w:val="24"/>
          <w:szCs w:val="24"/>
          <w:lang w:bidi="ar"/>
        </w:rPr>
      </w:pPr>
      <w:r>
        <w:rPr>
          <w:rFonts w:hint="eastAsia" w:ascii="仿宋_GB2312" w:hAnsi="仿宋_GB2312" w:eastAsia="仿宋_GB2312" w:cs="仿宋_GB2312"/>
          <w:color w:val="auto"/>
          <w:sz w:val="24"/>
          <w:szCs w:val="24"/>
          <w:lang w:bidi="ar"/>
        </w:rPr>
        <w:t>（2）财务状况报告：提供递交响应文件截止之日前两年内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审计报告须具有注册会计师行业统一监管平台赋予的验证码；或提供其开标前三个月内基本开户银行出具的资信证明；</w:t>
      </w:r>
    </w:p>
    <w:p w14:paraId="33DC07EA">
      <w:pPr>
        <w:pStyle w:val="5"/>
        <w:pageBreakBefore w:val="0"/>
        <w:overflowPunct/>
        <w:topLinePunct w:val="0"/>
        <w:bidi w:val="0"/>
        <w:adjustRightInd w:val="0"/>
        <w:snapToGrid w:val="0"/>
        <w:spacing w:before="0" w:beforeAutospacing="0" w:after="0" w:afterAutospacing="0" w:line="360" w:lineRule="auto"/>
        <w:ind w:firstLine="480" w:firstLineChars="200"/>
        <w:rPr>
          <w:rFonts w:hint="eastAsia" w:ascii="仿宋_GB2312" w:hAnsi="仿宋_GB2312" w:eastAsia="仿宋_GB2312" w:cs="仿宋_GB2312"/>
          <w:color w:val="auto"/>
          <w:sz w:val="24"/>
          <w:szCs w:val="24"/>
          <w:lang w:bidi="ar"/>
        </w:rPr>
      </w:pPr>
      <w:r>
        <w:rPr>
          <w:rFonts w:hint="eastAsia" w:ascii="仿宋_GB2312" w:hAnsi="仿宋_GB2312" w:eastAsia="仿宋_GB2312" w:cs="仿宋_GB2312"/>
          <w:color w:val="auto"/>
          <w:sz w:val="24"/>
          <w:szCs w:val="24"/>
          <w:lang w:bidi="ar"/>
        </w:rPr>
        <w:t>（3）税收缴纳证明：提供递交响应文件截止之日前六个月内任意一个月的依法缴纳税收的完税证明，完税证明应有税务机关或代收机关的公章或业务专用章。依法免税或无须缴纳税收的供应商，应提供相应证明文件；</w:t>
      </w:r>
    </w:p>
    <w:p w14:paraId="33EC674C">
      <w:pPr>
        <w:pStyle w:val="5"/>
        <w:pageBreakBefore w:val="0"/>
        <w:overflowPunct/>
        <w:topLinePunct w:val="0"/>
        <w:bidi w:val="0"/>
        <w:adjustRightInd w:val="0"/>
        <w:snapToGrid w:val="0"/>
        <w:spacing w:before="0" w:beforeAutospacing="0" w:after="0" w:afterAutospacing="0" w:line="360" w:lineRule="auto"/>
        <w:ind w:firstLine="480" w:firstLineChars="200"/>
        <w:rPr>
          <w:rFonts w:hint="eastAsia" w:ascii="仿宋_GB2312" w:hAnsi="仿宋_GB2312" w:eastAsia="仿宋_GB2312" w:cs="仿宋_GB2312"/>
          <w:color w:val="auto"/>
          <w:sz w:val="24"/>
          <w:szCs w:val="24"/>
          <w:lang w:bidi="ar"/>
        </w:rPr>
      </w:pPr>
      <w:r>
        <w:rPr>
          <w:rFonts w:hint="eastAsia" w:ascii="仿宋_GB2312" w:hAnsi="仿宋_GB2312" w:eastAsia="仿宋_GB2312" w:cs="仿宋_GB2312"/>
          <w:color w:val="auto"/>
          <w:sz w:val="24"/>
          <w:szCs w:val="24"/>
          <w:lang w:bidi="ar"/>
        </w:rPr>
        <w:t>（4）社会保障资金缴纳证明：提供递交响应文件截止之日前六个月内任意一个月的社会保障资金缴存单据或社保机构开具的社会保险参保缴费情况证明。依法不需要缴纳社会保障资金的供应商应提供相关文件证明；</w:t>
      </w:r>
      <w:bookmarkStart w:id="0" w:name="_GoBack"/>
      <w:bookmarkEnd w:id="0"/>
    </w:p>
    <w:p w14:paraId="6DABE4A6">
      <w:pPr>
        <w:pStyle w:val="5"/>
        <w:pageBreakBefore w:val="0"/>
        <w:overflowPunct/>
        <w:topLinePunct w:val="0"/>
        <w:bidi w:val="0"/>
        <w:adjustRightInd w:val="0"/>
        <w:snapToGrid w:val="0"/>
        <w:spacing w:before="0" w:beforeAutospacing="0" w:after="0" w:afterAutospacing="0" w:line="360" w:lineRule="auto"/>
        <w:ind w:firstLine="480" w:firstLineChars="200"/>
        <w:rPr>
          <w:rFonts w:hint="eastAsia" w:ascii="仿宋_GB2312" w:hAnsi="仿宋_GB2312" w:eastAsia="仿宋_GB2312" w:cs="仿宋_GB2312"/>
          <w:color w:val="auto"/>
          <w:sz w:val="24"/>
          <w:szCs w:val="24"/>
          <w:lang w:bidi="ar"/>
        </w:rPr>
      </w:pPr>
      <w:r>
        <w:rPr>
          <w:rFonts w:hint="eastAsia" w:ascii="仿宋_GB2312" w:hAnsi="仿宋_GB2312" w:eastAsia="仿宋_GB2312" w:cs="仿宋_GB2312"/>
          <w:color w:val="auto"/>
          <w:sz w:val="24"/>
          <w:szCs w:val="24"/>
          <w:lang w:bidi="ar"/>
        </w:rPr>
        <w:t>（5）提供具有履行本合同所必需的设备和专业技术能力的书面声明及承诺</w:t>
      </w:r>
      <w:r>
        <w:rPr>
          <w:rFonts w:hint="eastAsia" w:ascii="仿宋_GB2312" w:hAnsi="仿宋_GB2312" w:eastAsia="仿宋_GB2312" w:cs="仿宋_GB2312"/>
          <w:color w:val="auto"/>
          <w:sz w:val="24"/>
          <w:szCs w:val="24"/>
          <w:lang w:eastAsia="zh-CN" w:bidi="ar"/>
        </w:rPr>
        <w:t>（格式自拟）</w:t>
      </w:r>
      <w:r>
        <w:rPr>
          <w:rFonts w:hint="eastAsia" w:ascii="仿宋_GB2312" w:hAnsi="仿宋_GB2312" w:eastAsia="仿宋_GB2312" w:cs="仿宋_GB2312"/>
          <w:color w:val="auto"/>
          <w:sz w:val="24"/>
          <w:szCs w:val="24"/>
          <w:lang w:bidi="ar"/>
        </w:rPr>
        <w:t>；</w:t>
      </w:r>
    </w:p>
    <w:p w14:paraId="54C4FF5B">
      <w:pPr>
        <w:pStyle w:val="5"/>
        <w:pageBreakBefore w:val="0"/>
        <w:overflowPunct/>
        <w:topLinePunct w:val="0"/>
        <w:bidi w:val="0"/>
        <w:adjustRightInd w:val="0"/>
        <w:snapToGrid w:val="0"/>
        <w:spacing w:before="0" w:beforeAutospacing="0" w:after="0" w:afterAutospacing="0" w:line="360" w:lineRule="auto"/>
        <w:ind w:firstLine="480" w:firstLineChars="200"/>
        <w:rPr>
          <w:rFonts w:hint="eastAsia" w:ascii="仿宋_GB2312" w:hAnsi="仿宋_GB2312" w:eastAsia="仿宋_GB2312" w:cs="仿宋_GB2312"/>
          <w:color w:val="auto"/>
          <w:sz w:val="24"/>
          <w:szCs w:val="24"/>
          <w:lang w:bidi="ar"/>
        </w:rPr>
      </w:pPr>
      <w:r>
        <w:rPr>
          <w:rFonts w:hint="eastAsia" w:ascii="仿宋_GB2312" w:hAnsi="仿宋_GB2312" w:eastAsia="仿宋_GB2312" w:cs="仿宋_GB2312"/>
          <w:color w:val="auto"/>
          <w:sz w:val="24"/>
          <w:szCs w:val="24"/>
          <w:lang w:bidi="ar"/>
        </w:rPr>
        <w:t>（6）提供参加本次政府采购活动前三年内在经营活动中没有重大违法记录的书面声明</w:t>
      </w:r>
      <w:r>
        <w:rPr>
          <w:rFonts w:hint="eastAsia" w:ascii="仿宋_GB2312" w:hAnsi="仿宋_GB2312" w:eastAsia="仿宋_GB2312" w:cs="仿宋_GB2312"/>
          <w:color w:val="auto"/>
          <w:sz w:val="24"/>
          <w:szCs w:val="24"/>
          <w:lang w:eastAsia="zh-CN" w:bidi="ar"/>
        </w:rPr>
        <w:t>（格式自拟）</w:t>
      </w:r>
      <w:r>
        <w:rPr>
          <w:rFonts w:hint="eastAsia" w:ascii="仿宋_GB2312" w:hAnsi="仿宋_GB2312" w:eastAsia="仿宋_GB2312" w:cs="仿宋_GB2312"/>
          <w:color w:val="auto"/>
          <w:sz w:val="24"/>
          <w:szCs w:val="24"/>
          <w:lang w:bidi="ar"/>
        </w:rPr>
        <w:t>；</w:t>
      </w:r>
    </w:p>
    <w:p w14:paraId="6E52BF67">
      <w:pPr>
        <w:pageBreakBefore w:val="0"/>
        <w:widowControl/>
        <w:tabs>
          <w:tab w:val="left" w:pos="1620"/>
        </w:tabs>
        <w:overflowPunct/>
        <w:topLinePunct w:val="0"/>
        <w:bidi w:val="0"/>
        <w:spacing w:line="360" w:lineRule="auto"/>
        <w:ind w:right="-197" w:rightChars="-94" w:firstLine="480" w:firstLineChars="200"/>
        <w:jc w:val="left"/>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7）供应商不得为“中国执行信息公开网”（https://zxgk.court.gov.cn/）列入失信被执行人；不得为“信用中国”（www.creditchina.gov.cn）列入重大税收违法失信主体的供应商，不得为“中国政府采购网”（www.ccgp.gov.cn）政府采购严重违法失信行为记录名单中被财政部门禁止参加政府采购活动的供应商；以采购人或采购代理机构于响应文件递交截止日当天查询结果为准，凡被列入失信被执行人、重大税收违法案件当事人名单、政府采购严重违法失信行为记录名单的，视为存在不良信用记录，参与本项目将被拒绝。（信用记录自查截图）</w:t>
      </w:r>
    </w:p>
    <w:p w14:paraId="2EF0D967">
      <w:pPr>
        <w:pageBreakBefore w:val="0"/>
        <w:widowControl/>
        <w:tabs>
          <w:tab w:val="left" w:pos="1620"/>
        </w:tabs>
        <w:overflowPunct/>
        <w:topLinePunct w:val="0"/>
        <w:bidi w:val="0"/>
        <w:spacing w:line="360" w:lineRule="auto"/>
        <w:ind w:right="-197" w:rightChars="-94" w:firstLine="480" w:firstLineChars="200"/>
        <w:jc w:val="left"/>
        <w:rPr>
          <w:rFonts w:hint="eastAsia" w:ascii="仿宋_GB2312" w:hAnsi="仿宋_GB2312" w:eastAsia="仿宋_GB2312" w:cs="仿宋_GB2312"/>
          <w:color w:val="auto"/>
          <w:sz w:val="24"/>
          <w:lang w:eastAsia="zh-CN" w:bidi="ar"/>
        </w:rPr>
      </w:pPr>
      <w:r>
        <w:rPr>
          <w:rFonts w:hint="eastAsia" w:ascii="仿宋_GB2312" w:hAnsi="仿宋_GB2312" w:eastAsia="仿宋_GB2312" w:cs="仿宋_GB2312"/>
          <w:color w:val="auto"/>
          <w:sz w:val="24"/>
          <w:lang w:bidi="ar"/>
        </w:rPr>
        <w:t>供应商应符合《财政部关于在政府采购活动中查询及使用信用记录有关问题的通知》（财库【2016】125号）文件中信用查询的要求；</w:t>
      </w:r>
    </w:p>
    <w:p w14:paraId="46F75ACA">
      <w:pPr>
        <w:keepNext w:val="0"/>
        <w:keepLines w:val="0"/>
        <w:pageBreakBefore w:val="0"/>
        <w:widowControl/>
        <w:numPr>
          <w:ilvl w:val="0"/>
          <w:numId w:val="0"/>
        </w:numPr>
        <w:tabs>
          <w:tab w:val="left" w:pos="1620"/>
        </w:tabs>
        <w:kinsoku/>
        <w:wordWrap/>
        <w:overflowPunct/>
        <w:topLinePunct w:val="0"/>
        <w:autoSpaceDE/>
        <w:autoSpaceDN/>
        <w:bidi w:val="0"/>
        <w:adjustRightInd/>
        <w:snapToGrid/>
        <w:spacing w:line="360" w:lineRule="auto"/>
        <w:ind w:right="-197" w:rightChars="-94" w:firstLine="480" w:firstLineChars="200"/>
        <w:jc w:val="left"/>
        <w:textAlignment w:val="auto"/>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val="en-US" w:eastAsia="zh-CN" w:bidi="ar"/>
        </w:rPr>
        <w:t>（8）</w:t>
      </w:r>
      <w:r>
        <w:rPr>
          <w:rFonts w:hint="eastAsia" w:ascii="仿宋_GB2312" w:hAnsi="仿宋_GB2312" w:eastAsia="仿宋_GB2312" w:cs="仿宋_GB2312"/>
          <w:color w:val="auto"/>
          <w:sz w:val="24"/>
          <w:lang w:bidi="ar"/>
        </w:rPr>
        <w:t>供应商企业关系关联承诺书。若与其他供应商存在单位负责人为同一人或者存在直接控股、管理关系的，则磋商无效</w:t>
      </w:r>
      <w:r>
        <w:rPr>
          <w:rFonts w:hint="eastAsia" w:ascii="仿宋_GB2312" w:hAnsi="仿宋_GB2312" w:eastAsia="仿宋_GB2312" w:cs="仿宋_GB2312"/>
          <w:color w:val="auto"/>
          <w:sz w:val="24"/>
          <w:szCs w:val="24"/>
          <w:lang w:eastAsia="zh-CN" w:bidi="ar"/>
        </w:rPr>
        <w:t>（格式自拟）；</w:t>
      </w:r>
    </w:p>
    <w:p w14:paraId="2A4CC824">
      <w:pPr>
        <w:keepNext w:val="0"/>
        <w:keepLines w:val="0"/>
        <w:pageBreakBefore w:val="0"/>
        <w:widowControl/>
        <w:numPr>
          <w:ilvl w:val="0"/>
          <w:numId w:val="0"/>
        </w:numPr>
        <w:tabs>
          <w:tab w:val="left" w:pos="1620"/>
        </w:tabs>
        <w:kinsoku/>
        <w:wordWrap/>
        <w:overflowPunct/>
        <w:topLinePunct w:val="0"/>
        <w:autoSpaceDE/>
        <w:autoSpaceDN/>
        <w:bidi w:val="0"/>
        <w:adjustRightInd/>
        <w:snapToGrid/>
        <w:spacing w:line="360" w:lineRule="auto"/>
        <w:ind w:right="-197" w:rightChars="-94" w:firstLine="480" w:firstLineChars="200"/>
        <w:jc w:val="left"/>
        <w:textAlignment w:val="auto"/>
        <w:rPr>
          <w:rFonts w:hint="eastAsia" w:ascii="仿宋_GB2312" w:hAnsi="仿宋_GB2312" w:eastAsia="仿宋_GB2312" w:cs="仿宋_GB2312"/>
          <w:color w:val="auto"/>
          <w:sz w:val="24"/>
          <w:lang w:eastAsia="zh-CN" w:bidi="ar"/>
        </w:rPr>
      </w:pPr>
      <w:r>
        <w:rPr>
          <w:rFonts w:hint="eastAsia" w:ascii="仿宋_GB2312" w:hAnsi="仿宋_GB2312" w:eastAsia="仿宋_GB2312" w:cs="仿宋_GB2312"/>
          <w:color w:val="auto"/>
          <w:sz w:val="24"/>
          <w:lang w:bidi="ar"/>
        </w:rPr>
        <w:t>（</w:t>
      </w:r>
      <w:r>
        <w:rPr>
          <w:rFonts w:hint="eastAsia" w:ascii="仿宋_GB2312" w:hAnsi="仿宋_GB2312" w:eastAsia="仿宋_GB2312" w:cs="仿宋_GB2312"/>
          <w:color w:val="auto"/>
          <w:sz w:val="24"/>
          <w:lang w:val="en-US" w:eastAsia="zh-CN" w:bidi="ar"/>
        </w:rPr>
        <w:t>9</w:t>
      </w:r>
      <w:r>
        <w:rPr>
          <w:rFonts w:hint="eastAsia" w:ascii="仿宋_GB2312" w:hAnsi="仿宋_GB2312" w:eastAsia="仿宋_GB2312" w:cs="仿宋_GB2312"/>
          <w:color w:val="auto"/>
          <w:sz w:val="24"/>
          <w:lang w:bidi="ar"/>
        </w:rPr>
        <w:t>）本项目不接受联合体投标（供应商需提供非联合体投标承诺</w:t>
      </w:r>
      <w:r>
        <w:rPr>
          <w:rFonts w:hint="eastAsia" w:ascii="仿宋_GB2312" w:hAnsi="仿宋_GB2312" w:eastAsia="仿宋_GB2312" w:cs="仿宋_GB2312"/>
          <w:color w:val="auto"/>
          <w:sz w:val="24"/>
          <w:lang w:eastAsia="zh-CN" w:bidi="ar"/>
        </w:rPr>
        <w:t>书</w:t>
      </w:r>
      <w:r>
        <w:rPr>
          <w:rFonts w:hint="eastAsia" w:ascii="仿宋_GB2312" w:hAnsi="仿宋_GB2312" w:eastAsia="仿宋_GB2312" w:cs="仿宋_GB2312"/>
          <w:color w:val="auto"/>
          <w:sz w:val="24"/>
          <w:lang w:bidi="ar"/>
        </w:rPr>
        <w:t>，格式自拟）</w:t>
      </w:r>
      <w:r>
        <w:rPr>
          <w:rFonts w:hint="eastAsia" w:ascii="仿宋_GB2312" w:hAnsi="仿宋_GB2312" w:eastAsia="仿宋_GB2312" w:cs="仿宋_GB2312"/>
          <w:color w:val="auto"/>
          <w:sz w:val="24"/>
          <w:lang w:eastAsia="zh-CN" w:bidi="ar"/>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3AB0EA"/>
    <w:multiLevelType w:val="singleLevel"/>
    <w:tmpl w:val="2F3AB0E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FhNDQ4YjlmODYzZDIwNmFmNzIyNDk1NGExMTdjZjIifQ=="/>
  </w:docVars>
  <w:rsids>
    <w:rsidRoot w:val="77FFE8DA"/>
    <w:rsid w:val="007D6C06"/>
    <w:rsid w:val="00C10ED7"/>
    <w:rsid w:val="00DD3CE5"/>
    <w:rsid w:val="03F54A33"/>
    <w:rsid w:val="0F6239E3"/>
    <w:rsid w:val="15C639BF"/>
    <w:rsid w:val="20AA6ADB"/>
    <w:rsid w:val="21025026"/>
    <w:rsid w:val="2CC55886"/>
    <w:rsid w:val="366C1885"/>
    <w:rsid w:val="39E906DA"/>
    <w:rsid w:val="3A3E27D3"/>
    <w:rsid w:val="3F115953"/>
    <w:rsid w:val="3FDB779F"/>
    <w:rsid w:val="42204542"/>
    <w:rsid w:val="44751AF9"/>
    <w:rsid w:val="4977360C"/>
    <w:rsid w:val="545C3B2A"/>
    <w:rsid w:val="5AD42E55"/>
    <w:rsid w:val="5FF13CC0"/>
    <w:rsid w:val="672C46B5"/>
    <w:rsid w:val="74F57957"/>
    <w:rsid w:val="77FFE8DA"/>
    <w:rsid w:val="78C3670F"/>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0"/>
    <w:pPr>
      <w:spacing w:after="120"/>
    </w:pPr>
  </w:style>
  <w:style w:type="paragraph" w:styleId="3">
    <w:name w:val="annotation text"/>
    <w:basedOn w:val="1"/>
    <w:autoRedefine/>
    <w:qFormat/>
    <w:uiPriority w:val="0"/>
    <w:pPr>
      <w:jc w:val="left"/>
    </w:pPr>
    <w:rPr>
      <w:rFonts w:ascii="Times New Roman" w:hAnsi="Times New Roman"/>
      <w:kern w:val="0"/>
      <w:sz w:val="18"/>
      <w:szCs w:val="18"/>
    </w:rPr>
  </w:style>
  <w:style w:type="paragraph" w:styleId="4">
    <w:name w:val="Body Text Indent 2"/>
    <w:basedOn w:val="1"/>
    <w:autoRedefine/>
    <w:qFormat/>
    <w:uiPriority w:val="0"/>
    <w:pPr>
      <w:ind w:firstLine="630"/>
    </w:pPr>
    <w:rPr>
      <w:sz w:val="32"/>
      <w:szCs w:val="20"/>
    </w:rPr>
  </w:style>
  <w:style w:type="paragraph" w:styleId="5">
    <w:name w:val="Normal (Web)"/>
    <w:basedOn w:val="1"/>
    <w:autoRedefine/>
    <w:qFormat/>
    <w:uiPriority w:val="99"/>
    <w:pPr>
      <w:widowControl/>
      <w:spacing w:before="100" w:beforeAutospacing="1" w:after="100" w:afterAutospacing="1"/>
      <w:jc w:val="left"/>
    </w:pPr>
    <w:rPr>
      <w:rFonts w:ascii="宋体" w:hAnsi="宋体"/>
      <w:kern w:val="0"/>
      <w:sz w:val="18"/>
      <w:szCs w:val="18"/>
    </w:rPr>
  </w:style>
  <w:style w:type="paragraph" w:customStyle="1" w:styleId="8">
    <w:name w:val="列表段落1"/>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966</Words>
  <Characters>1031</Characters>
  <Lines>1</Lines>
  <Paragraphs>1</Paragraphs>
  <TotalTime>0</TotalTime>
  <ScaleCrop>false</ScaleCrop>
  <LinksUpToDate>false</LinksUpToDate>
  <CharactersWithSpaces>1033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小古</cp:lastModifiedBy>
  <dcterms:modified xsi:type="dcterms:W3CDTF">2026-04-22T08:20:01Z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6CCB13C2B2E749C7A6946F108DE06F0E_12</vt:lpwstr>
  </property>
  <property fmtid="{D5CDD505-2E9C-101B-9397-08002B2CF9AE}" pid="4" name="KSOTemplateDocerSaveRecord">
    <vt:lpwstr>eyJoZGlkIjoiNjA4ODRmZTNiMTMyNmExMzQ0OGFmNTFkMmQ5ZjIxYWIiLCJ1c2VySWQiOiI1ODExNDgwMzEifQ==</vt:lpwstr>
  </property>
</Properties>
</file>