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版本号：RTZB-2026-200720260424001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灾害事故应急巡查监测服务项目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RTZB-2026-2007</w:t>
      </w:r>
      <w:r>
        <w:br/>
      </w:r>
      <w:r>
        <w:br/>
      </w:r>
      <w:r>
        <w:br/>
      </w:r>
    </w:p>
    <w:p>
      <w:pPr>
        <w:pStyle w:val="null3"/>
        <w:jc w:val="center"/>
        <w:outlineLvl w:val="2"/>
      </w:pPr>
      <w:r>
        <w:rPr>
          <w:rFonts w:ascii="仿宋_GB2312" w:hAnsi="仿宋_GB2312" w:cs="仿宋_GB2312" w:eastAsia="仿宋_GB2312"/>
          <w:sz w:val="28"/>
          <w:b/>
        </w:rPr>
        <w:t>陕西省应急救援保障中心（陕西省航空应急救援护林中心）</w:t>
      </w:r>
    </w:p>
    <w:p>
      <w:pPr>
        <w:pStyle w:val="null3"/>
        <w:jc w:val="center"/>
        <w:outlineLvl w:val="2"/>
      </w:pPr>
      <w:r>
        <w:rPr>
          <w:rFonts w:ascii="仿宋_GB2312" w:hAnsi="仿宋_GB2312" w:cs="仿宋_GB2312" w:eastAsia="仿宋_GB2312"/>
          <w:sz w:val="28"/>
          <w:b/>
        </w:rPr>
        <w:t>陕西瑞通工程造价咨询有限公司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陕西瑞通工程造价咨询有限公司</w:t>
      </w:r>
      <w:r>
        <w:rPr>
          <w:rFonts w:ascii="仿宋_GB2312" w:hAnsi="仿宋_GB2312" w:cs="仿宋_GB2312" w:eastAsia="仿宋_GB2312"/>
        </w:rPr>
        <w:t>（以下简称“代理机构”）受</w:t>
      </w:r>
      <w:r>
        <w:rPr>
          <w:rFonts w:ascii="仿宋_GB2312" w:hAnsi="仿宋_GB2312" w:cs="仿宋_GB2312" w:eastAsia="仿宋_GB2312"/>
        </w:rPr>
        <w:t>陕西省应急救援保障中心（陕西省航空应急救援护林中心）</w:t>
      </w:r>
      <w:r>
        <w:rPr>
          <w:rFonts w:ascii="仿宋_GB2312" w:hAnsi="仿宋_GB2312" w:cs="仿宋_GB2312" w:eastAsia="仿宋_GB2312"/>
        </w:rPr>
        <w:t>委托，拟对</w:t>
      </w:r>
      <w:r>
        <w:rPr>
          <w:rFonts w:ascii="仿宋_GB2312" w:hAnsi="仿宋_GB2312" w:cs="仿宋_GB2312" w:eastAsia="仿宋_GB2312"/>
        </w:rPr>
        <w:t>灾害事故应急巡查监测服务项目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RTZB-2026-2007</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灾害事故应急巡查监测服务项目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通过采购无人机应急巡查监测服务，构建覆盖全省的灾害事故应急巡查监测体系，为各类灾害事故应急处置提供空中侦察、现场监测、数据支撑与信息化保障。</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采购包1（灾害事故应急巡查监测服务）：属于专门面向小微企业采购。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信用声明：未被信用中国网站列入失信被执行人和重大税收违法案件当事人名单、未被中国政府采购网列入政府采购严重违法失信行为记录名单（开标后系统查询）。提供参加本次政府采购活动前3年内在经营活动中没有重大违法记录（处罚期满除外）的书面声明。</w:t>
      </w:r>
    </w:p>
    <w:p>
      <w:pPr>
        <w:pStyle w:val="null3"/>
      </w:pPr>
      <w:r>
        <w:rPr>
          <w:rFonts w:ascii="仿宋_GB2312" w:hAnsi="仿宋_GB2312" w:cs="仿宋_GB2312" w:eastAsia="仿宋_GB2312"/>
        </w:rPr>
        <w:t>2、供应商代表授权：提供法定代表人证明书及代表人授权委托书。</w:t>
      </w:r>
    </w:p>
    <w:p>
      <w:pPr>
        <w:pStyle w:val="null3"/>
      </w:pPr>
      <w:r>
        <w:rPr>
          <w:rFonts w:ascii="仿宋_GB2312" w:hAnsi="仿宋_GB2312" w:cs="仿宋_GB2312" w:eastAsia="仿宋_GB2312"/>
        </w:rPr>
        <w:t>3、联合体形式：不接受联合体磋商，提供非联合体声明。</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陕西省应急救援保障中心（陕西省航空应急救援护林中心）</w:t>
      </w:r>
    </w:p>
    <w:p>
      <w:pPr>
        <w:pStyle w:val="null3"/>
      </w:pPr>
      <w:r>
        <w:rPr>
          <w:rFonts w:ascii="仿宋_GB2312" w:hAnsi="仿宋_GB2312" w:cs="仿宋_GB2312" w:eastAsia="仿宋_GB2312"/>
        </w:rPr>
        <w:t xml:space="preserve"> 地址： </w:t>
      </w:r>
      <w:r>
        <w:rPr>
          <w:rFonts w:ascii="仿宋_GB2312" w:hAnsi="仿宋_GB2312" w:cs="仿宋_GB2312" w:eastAsia="仿宋_GB2312"/>
        </w:rPr>
        <w:t>长安区神舟六路858号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029-85898803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陕西瑞通工程造价咨询有限公司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西安市高新区科技路30号合力紫郡A座2204室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贾堃 水思楠 张晨 张岩</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029-88224132</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采购包1：2,000,000.00元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采购包1保证金金额：40,000.00元</w:t>
            </w:r>
          </w:p>
          <w:p>
            <w:pPr>
              <w:pStyle w:val="null3"/>
            </w:pPr>
            <w:r>
              <w:rPr>
                <w:rFonts w:ascii="仿宋_GB2312" w:hAnsi="仿宋_GB2312" w:cs="仿宋_GB2312" w:eastAsia="仿宋_GB2312"/>
              </w:rPr>
              <w:t>缴交渠道：转账、支票、汇票等（需通过实体账户、户名及开户行信息）</w:t>
            </w:r>
          </w:p>
          <w:p>
            <w:pPr>
              <w:pStyle w:val="null3"/>
            </w:pPr>
            <w:r>
              <w:rPr>
                <w:rFonts w:ascii="仿宋_GB2312" w:hAnsi="仿宋_GB2312" w:cs="仿宋_GB2312" w:eastAsia="仿宋_GB2312"/>
              </w:rPr>
              <w:t>开户名称：陕西瑞通工程造价咨询有限公司</w:t>
            </w:r>
          </w:p>
          <w:p>
            <w:pPr>
              <w:pStyle w:val="null3"/>
            </w:pPr>
            <w:r>
              <w:rPr>
                <w:rFonts w:ascii="仿宋_GB2312" w:hAnsi="仿宋_GB2312" w:cs="仿宋_GB2312" w:eastAsia="仿宋_GB2312"/>
              </w:rPr>
              <w:t>开户银行：中国民生银行西安分行营业部</w:t>
            </w:r>
          </w:p>
          <w:p>
            <w:pPr>
              <w:pStyle w:val="null3"/>
            </w:pPr>
            <w:r>
              <w:rPr>
                <w:rFonts w:ascii="仿宋_GB2312" w:hAnsi="仿宋_GB2312" w:cs="仿宋_GB2312" w:eastAsia="仿宋_GB2312"/>
              </w:rPr>
              <w:t>银行账号：698207824</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颁布的《招标代理服务收费管理暂行办法》（计价格[2002]1980号）及发改办价格[2003]857号文件的规定以成交价为基础按服务类标准计算收取，投标人在下载中标通知书时一次性缴清。</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陕西省应急救援保障中心（陕西省航空应急救援护林中心）</w:t>
      </w:r>
      <w:r>
        <w:rPr>
          <w:rFonts w:ascii="仿宋_GB2312" w:hAnsi="仿宋_GB2312" w:cs="仿宋_GB2312" w:eastAsia="仿宋_GB2312"/>
        </w:rPr>
        <w:t>和</w:t>
      </w:r>
      <w:r>
        <w:rPr>
          <w:rFonts w:ascii="仿宋_GB2312" w:hAnsi="仿宋_GB2312" w:cs="仿宋_GB2312" w:eastAsia="仿宋_GB2312"/>
        </w:rPr>
        <w:t>陕西瑞通工程造价咨询有限公司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陕西省应急救援保障中心（陕西省航空应急救援护林中心）</w:t>
      </w:r>
      <w:r>
        <w:rPr>
          <w:rFonts w:ascii="仿宋_GB2312" w:hAnsi="仿宋_GB2312" w:cs="仿宋_GB2312" w:eastAsia="仿宋_GB2312"/>
        </w:rPr>
        <w:t>负责解释。除上述磋商文件内容，其他内容由</w:t>
      </w:r>
      <w:r>
        <w:rPr>
          <w:rFonts w:ascii="仿宋_GB2312" w:hAnsi="仿宋_GB2312" w:cs="仿宋_GB2312" w:eastAsia="仿宋_GB2312"/>
        </w:rPr>
        <w:t>陕西瑞通工程造价咨询有限公司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陕西省应急救援保障中心（陕西省航空应急救援护林中心）</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陕西瑞通工程造价咨询有限公司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根据磋商文件、响应文件及合同约定执行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陕西瑞通工程造价咨询有限公司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陕西瑞通工程造价咨询有限公司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陕西瑞通工程造价咨询有限公司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联系人：贾工 水工</w:t>
      </w:r>
    </w:p>
    <w:p>
      <w:pPr>
        <w:pStyle w:val="null3"/>
      </w:pPr>
      <w:r>
        <w:rPr>
          <w:rFonts w:ascii="仿宋_GB2312" w:hAnsi="仿宋_GB2312" w:cs="仿宋_GB2312" w:eastAsia="仿宋_GB2312"/>
        </w:rPr>
        <w:t>联系电话：029-88224132</w:t>
      </w:r>
    </w:p>
    <w:p>
      <w:pPr>
        <w:pStyle w:val="null3"/>
      </w:pPr>
      <w:r>
        <w:rPr>
          <w:rFonts w:ascii="仿宋_GB2312" w:hAnsi="仿宋_GB2312" w:cs="仿宋_GB2312" w:eastAsia="仿宋_GB2312"/>
        </w:rPr>
        <w:t>地址：西安市科技路30号合力紫郡A座22层2204室</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通过采购无人机应急巡查监测服务，构建覆盖全省的灾害事故应急巡查监测体系，为各类灾害事故应急处置提供空中侦察、现场监测、数据支撑与信息化保障。</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2,000,000.00</w:t>
      </w:r>
    </w:p>
    <w:p>
      <w:pPr>
        <w:pStyle w:val="null3"/>
      </w:pPr>
      <w:r>
        <w:rPr>
          <w:rFonts w:ascii="仿宋_GB2312" w:hAnsi="仿宋_GB2312" w:cs="仿宋_GB2312" w:eastAsia="仿宋_GB2312"/>
        </w:rPr>
        <w:t>采购包最高限价（元）: 2,000,000.00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灾害事故现场信息获取服务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2,000,000.00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标的名称：灾害事故现场信息获取服务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sz w:val="20"/>
                <w:color w:val="000000"/>
              </w:rPr>
              <w:t>项目概况</w:t>
            </w:r>
          </w:p>
          <w:p>
            <w:pPr>
              <w:pStyle w:val="null3"/>
            </w:pPr>
            <w:r>
              <w:rPr>
                <w:rFonts w:ascii="仿宋_GB2312" w:hAnsi="仿宋_GB2312" w:cs="仿宋_GB2312" w:eastAsia="仿宋_GB2312"/>
                <w:sz w:val="20"/>
                <w:color w:val="000000"/>
              </w:rPr>
              <w:t>通过采购无人机应急巡查监测服务，构建覆盖全省的灾害事故应急巡查监测体系，为各类灾害事故应急处置提供空中侦察、现场监测、数据支撑与信息化保障。</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sz w:val="20"/>
                <w:color w:val="000000"/>
              </w:rPr>
              <w:t>（一）无人机应急处置服务站</w:t>
            </w:r>
          </w:p>
          <w:p>
            <w:pPr>
              <w:pStyle w:val="null3"/>
            </w:pPr>
            <w:r>
              <w:rPr>
                <w:rFonts w:ascii="仿宋_GB2312" w:hAnsi="仿宋_GB2312" w:cs="仿宋_GB2312" w:eastAsia="仿宋_GB2312"/>
                <w:sz w:val="20"/>
                <w:color w:val="000000"/>
              </w:rPr>
              <w:t>1.站点要求：在全省12个地市（西安、宝鸡、咸阳、铜川、渭南、延安、榆林、汉中、安康、商洛、杨凌、韩城）建立无人机应急处置服务站，具体位置由甲方指定，如确有场地需要，相关费用由中标单位承担。</w:t>
            </w:r>
          </w:p>
          <w:p>
            <w:pPr>
              <w:pStyle w:val="null3"/>
            </w:pPr>
            <w:r>
              <w:rPr>
                <w:rFonts w:ascii="仿宋_GB2312" w:hAnsi="仿宋_GB2312" w:cs="仿宋_GB2312" w:eastAsia="仿宋_GB2312"/>
                <w:sz w:val="20"/>
                <w:color w:val="000000"/>
              </w:rPr>
              <w:t>2.基础配置：</w:t>
            </w:r>
          </w:p>
          <w:p>
            <w:pPr>
              <w:pStyle w:val="null3"/>
            </w:pPr>
            <w:r>
              <w:rPr>
                <w:rFonts w:ascii="仿宋_GB2312" w:hAnsi="仿宋_GB2312" w:cs="仿宋_GB2312" w:eastAsia="仿宋_GB2312"/>
                <w:sz w:val="20"/>
                <w:color w:val="000000"/>
              </w:rPr>
              <w:t>每个站点至少配置专用应急无人机</w:t>
            </w:r>
            <w:r>
              <w:rPr>
                <w:rFonts w:ascii="仿宋_GB2312" w:hAnsi="仿宋_GB2312" w:cs="仿宋_GB2312" w:eastAsia="仿宋_GB2312"/>
                <w:sz w:val="20"/>
                <w:color w:val="000000"/>
              </w:rPr>
              <w:t>1架，</w:t>
            </w:r>
            <w:r>
              <w:rPr>
                <w:rFonts w:ascii="仿宋_GB2312" w:hAnsi="仿宋_GB2312" w:cs="仿宋_GB2312" w:eastAsia="仿宋_GB2312"/>
                <w:color w:val="000000"/>
              </w:rPr>
              <w:t>无人机总架数不少于</w:t>
            </w:r>
            <w:r>
              <w:rPr>
                <w:rFonts w:ascii="仿宋_GB2312" w:hAnsi="仿宋_GB2312" w:cs="仿宋_GB2312" w:eastAsia="仿宋_GB2312"/>
                <w:color w:val="000000"/>
              </w:rPr>
              <w:t>13</w:t>
            </w:r>
            <w:r>
              <w:rPr>
                <w:rFonts w:ascii="仿宋_GB2312" w:hAnsi="仿宋_GB2312" w:cs="仿宋_GB2312" w:eastAsia="仿宋_GB2312"/>
                <w:color w:val="000000"/>
              </w:rPr>
              <w:t>架；</w:t>
            </w:r>
          </w:p>
          <w:p>
            <w:pPr>
              <w:pStyle w:val="null3"/>
            </w:pPr>
            <w:r>
              <w:rPr>
                <w:rFonts w:ascii="仿宋_GB2312" w:hAnsi="仿宋_GB2312" w:cs="仿宋_GB2312" w:eastAsia="仿宋_GB2312"/>
                <w:sz w:val="20"/>
                <w:color w:val="000000"/>
              </w:rPr>
              <w:t>每个站点至少配置持证专职</w:t>
            </w:r>
            <w:r>
              <w:rPr>
                <w:rFonts w:ascii="仿宋_GB2312" w:hAnsi="仿宋_GB2312" w:cs="仿宋_GB2312" w:eastAsia="仿宋_GB2312"/>
                <w:sz w:val="20"/>
                <w:color w:val="000000"/>
              </w:rPr>
              <w:t>无人机操控员</w:t>
            </w:r>
            <w:r>
              <w:rPr>
                <w:rFonts w:ascii="仿宋_GB2312" w:hAnsi="仿宋_GB2312" w:cs="仿宋_GB2312" w:eastAsia="仿宋_GB2312"/>
                <w:sz w:val="20"/>
                <w:color w:val="000000"/>
              </w:rPr>
              <w:t>1名、总人数不少于13人；</w:t>
            </w:r>
          </w:p>
          <w:p>
            <w:pPr>
              <w:pStyle w:val="null3"/>
            </w:pPr>
            <w:r>
              <w:rPr>
                <w:rFonts w:ascii="仿宋_GB2312" w:hAnsi="仿宋_GB2312" w:cs="仿宋_GB2312" w:eastAsia="仿宋_GB2312"/>
                <w:sz w:val="20"/>
                <w:color w:val="000000"/>
              </w:rPr>
              <w:t>每个站点至少配置应急保障车</w:t>
            </w:r>
            <w:r>
              <w:rPr>
                <w:rFonts w:ascii="仿宋_GB2312" w:hAnsi="仿宋_GB2312" w:cs="仿宋_GB2312" w:eastAsia="仿宋_GB2312"/>
                <w:sz w:val="20"/>
                <w:color w:val="000000"/>
              </w:rPr>
              <w:t>1辆。</w:t>
            </w:r>
          </w:p>
          <w:p>
            <w:pPr>
              <w:pStyle w:val="null3"/>
            </w:pPr>
            <w:r>
              <w:rPr>
                <w:rFonts w:ascii="仿宋_GB2312" w:hAnsi="仿宋_GB2312" w:cs="仿宋_GB2312" w:eastAsia="仿宋_GB2312"/>
                <w:sz w:val="20"/>
                <w:color w:val="000000"/>
              </w:rPr>
              <w:t>具体要求如下：</w:t>
            </w:r>
          </w:p>
          <w:p>
            <w:pPr>
              <w:pStyle w:val="null3"/>
            </w:pPr>
            <w:r>
              <w:rPr>
                <w:rFonts w:ascii="仿宋_GB2312" w:hAnsi="仿宋_GB2312" w:cs="仿宋_GB2312" w:eastAsia="仿宋_GB2312"/>
                <w:sz w:val="20"/>
                <w:color w:val="000000"/>
              </w:rPr>
              <w:t>★（1）无人机参数：</w:t>
            </w:r>
          </w:p>
          <w:p>
            <w:pPr>
              <w:pStyle w:val="null3"/>
            </w:pPr>
            <w:r>
              <w:rPr>
                <w:rFonts w:ascii="仿宋_GB2312" w:hAnsi="仿宋_GB2312" w:cs="仿宋_GB2312" w:eastAsia="仿宋_GB2312"/>
                <w:sz w:val="20"/>
                <w:color w:val="000000"/>
              </w:rPr>
              <w:t>1.空机重量（含双电</w:t>
            </w:r>
            <w:r>
              <w:rPr>
                <w:rFonts w:ascii="仿宋_GB2312" w:hAnsi="仿宋_GB2312" w:cs="仿宋_GB2312" w:eastAsia="仿宋_GB2312"/>
                <w:sz w:val="20"/>
                <w:color w:val="000000"/>
              </w:rPr>
              <w:t>池）</w:t>
            </w:r>
            <w:r>
              <w:rPr>
                <w:rFonts w:ascii="仿宋_GB2312" w:hAnsi="仿宋_GB2312" w:cs="仿宋_GB2312" w:eastAsia="仿宋_GB2312"/>
                <w:sz w:val="20"/>
                <w:color w:val="000000"/>
              </w:rPr>
              <w:t>≤7.0kg</w:t>
            </w:r>
          </w:p>
          <w:p>
            <w:pPr>
              <w:pStyle w:val="null3"/>
            </w:pPr>
            <w:r>
              <w:rPr>
                <w:rFonts w:ascii="仿宋_GB2312" w:hAnsi="仿宋_GB2312" w:cs="仿宋_GB2312" w:eastAsia="仿宋_GB2312"/>
                <w:sz w:val="20"/>
                <w:color w:val="000000"/>
              </w:rPr>
              <w:t>2.最大</w:t>
            </w:r>
            <w:r>
              <w:rPr>
                <w:rFonts w:ascii="仿宋_GB2312" w:hAnsi="仿宋_GB2312" w:cs="仿宋_GB2312" w:eastAsia="仿宋_GB2312"/>
                <w:sz w:val="20"/>
                <w:color w:val="000000"/>
              </w:rPr>
              <w:t>起飞重量</w:t>
            </w:r>
            <w:r>
              <w:rPr>
                <w:rFonts w:ascii="仿宋_GB2312" w:hAnsi="仿宋_GB2312" w:cs="仿宋_GB2312" w:eastAsia="仿宋_GB2312"/>
                <w:sz w:val="20"/>
                <w:color w:val="000000"/>
              </w:rPr>
              <w:t>≥</w:t>
            </w:r>
            <w:r>
              <w:rPr>
                <w:rFonts w:ascii="仿宋_GB2312" w:hAnsi="仿宋_GB2312" w:cs="仿宋_GB2312" w:eastAsia="仿宋_GB2312"/>
                <w:sz w:val="20"/>
                <w:color w:val="000000"/>
              </w:rPr>
              <w:t>9kg</w:t>
            </w:r>
          </w:p>
          <w:p>
            <w:pPr>
              <w:pStyle w:val="null3"/>
            </w:pPr>
            <w:r>
              <w:rPr>
                <w:rFonts w:ascii="仿宋_GB2312" w:hAnsi="仿宋_GB2312" w:cs="仿宋_GB2312" w:eastAsia="仿宋_GB2312"/>
                <w:sz w:val="20"/>
                <w:color w:val="000000"/>
              </w:rPr>
              <w:t>3.最大可承受风速为≥10m/s</w:t>
            </w:r>
          </w:p>
          <w:p>
            <w:pPr>
              <w:pStyle w:val="null3"/>
            </w:pPr>
            <w:r>
              <w:rPr>
                <w:rFonts w:ascii="仿宋_GB2312" w:hAnsi="仿宋_GB2312" w:cs="仿宋_GB2312" w:eastAsia="仿宋_GB2312"/>
                <w:sz w:val="20"/>
                <w:color w:val="000000"/>
              </w:rPr>
              <w:t>4.最大水平飞行速度≥20m/s</w:t>
            </w:r>
          </w:p>
          <w:p>
            <w:pPr>
              <w:pStyle w:val="null3"/>
            </w:pPr>
            <w:r>
              <w:rPr>
                <w:rFonts w:ascii="仿宋_GB2312" w:hAnsi="仿宋_GB2312" w:cs="仿宋_GB2312" w:eastAsia="仿宋_GB2312"/>
                <w:sz w:val="20"/>
                <w:color w:val="000000"/>
              </w:rPr>
              <w:t>5.最大飞行时间≥50min</w:t>
            </w:r>
          </w:p>
          <w:p>
            <w:pPr>
              <w:pStyle w:val="null3"/>
            </w:pPr>
            <w:r>
              <w:rPr>
                <w:rFonts w:ascii="仿宋_GB2312" w:hAnsi="仿宋_GB2312" w:cs="仿宋_GB2312" w:eastAsia="仿宋_GB2312"/>
                <w:sz w:val="20"/>
                <w:color w:val="000000"/>
              </w:rPr>
              <w:t>6.IP防护等级≥IP45</w:t>
            </w:r>
          </w:p>
          <w:p>
            <w:pPr>
              <w:pStyle w:val="null3"/>
            </w:pPr>
            <w:r>
              <w:rPr>
                <w:rFonts w:ascii="仿宋_GB2312" w:hAnsi="仿宋_GB2312" w:cs="仿宋_GB2312" w:eastAsia="仿宋_GB2312"/>
                <w:sz w:val="20"/>
                <w:color w:val="000000"/>
              </w:rPr>
              <w:t>7.工作环境温度-20℃—50℃</w:t>
            </w:r>
          </w:p>
          <w:p>
            <w:pPr>
              <w:pStyle w:val="null3"/>
            </w:pPr>
            <w:r>
              <w:rPr>
                <w:rFonts w:ascii="仿宋_GB2312" w:hAnsi="仿宋_GB2312" w:cs="仿宋_GB2312" w:eastAsia="仿宋_GB2312"/>
                <w:sz w:val="20"/>
                <w:color w:val="000000"/>
              </w:rPr>
              <w:t>8.水平悬停精度±0.3m、垂直悬停精度±0.1m</w:t>
            </w:r>
          </w:p>
          <w:p>
            <w:pPr>
              <w:pStyle w:val="null3"/>
            </w:pPr>
            <w:r>
              <w:rPr>
                <w:rFonts w:ascii="仿宋_GB2312" w:hAnsi="仿宋_GB2312" w:cs="仿宋_GB2312" w:eastAsia="仿宋_GB2312"/>
                <w:sz w:val="20"/>
                <w:color w:val="000000"/>
              </w:rPr>
              <w:t>9.设备需具备机身及配套设备险、第三者责任险（提供中标后购买所述保险的承诺书）</w:t>
            </w:r>
          </w:p>
          <w:p>
            <w:pPr>
              <w:pStyle w:val="null3"/>
            </w:pPr>
            <w:r>
              <w:rPr>
                <w:rFonts w:ascii="仿宋_GB2312" w:hAnsi="仿宋_GB2312" w:cs="仿宋_GB2312" w:eastAsia="仿宋_GB2312"/>
                <w:sz w:val="20"/>
                <w:color w:val="000000"/>
              </w:rPr>
              <w:t>10.标配变焦可见光相机（分辨率≥1280×720@30fps，支持</w:t>
            </w:r>
            <w:r>
              <w:rPr>
                <w:rFonts w:ascii="仿宋_GB2312" w:hAnsi="仿宋_GB2312" w:cs="仿宋_GB2312" w:eastAsia="仿宋_GB2312"/>
              </w:rPr>
              <w:t>≥</w:t>
            </w:r>
            <w:r>
              <w:rPr>
                <w:rFonts w:ascii="仿宋_GB2312" w:hAnsi="仿宋_GB2312" w:cs="仿宋_GB2312" w:eastAsia="仿宋_GB2312"/>
                <w:sz w:val="20"/>
                <w:color w:val="000000"/>
              </w:rPr>
              <w:t>20倍光学混合变焦</w:t>
            </w:r>
            <w:r>
              <w:rPr>
                <w:rFonts w:ascii="仿宋_GB2312" w:hAnsi="仿宋_GB2312" w:cs="仿宋_GB2312" w:eastAsia="仿宋_GB2312"/>
                <w:sz w:val="20"/>
                <w:color w:val="000000"/>
              </w:rPr>
              <w:t>，支持三维建模作业）；</w:t>
            </w:r>
          </w:p>
          <w:p>
            <w:pPr>
              <w:pStyle w:val="null3"/>
            </w:pPr>
            <w:r>
              <w:rPr>
                <w:rFonts w:ascii="仿宋_GB2312" w:hAnsi="仿宋_GB2312" w:cs="仿宋_GB2312" w:eastAsia="仿宋_GB2312"/>
                <w:sz w:val="20"/>
                <w:color w:val="000000"/>
              </w:rPr>
              <w:t>★（2）无人机操控员：拟配无人机操控员须持有中国民用航空局（CAAC）核发的有效无人驾驶航空器操控员执照。其中，具备小型多旋翼无人机超视距（BVLOS）及以上操控员执照的人员数量不少于6名；其余人员所持执照</w:t>
            </w:r>
            <w:r>
              <w:rPr>
                <w:rFonts w:ascii="仿宋_GB2312" w:hAnsi="仿宋_GB2312" w:cs="仿宋_GB2312" w:eastAsia="仿宋_GB2312"/>
                <w:sz w:val="20"/>
                <w:color w:val="000000"/>
              </w:rPr>
              <w:t>等级不低于小型</w:t>
            </w:r>
            <w:r>
              <w:rPr>
                <w:rFonts w:ascii="仿宋_GB2312" w:hAnsi="仿宋_GB2312" w:cs="仿宋_GB2312" w:eastAsia="仿宋_GB2312"/>
                <w:sz w:val="20"/>
                <w:color w:val="000000"/>
              </w:rPr>
              <w:t>Ⅲ类无人机视距内（VLOS）操控员执照。所有无人机操控员均需满足以下条件之一：操控员执照取证时间满1年及以上或累计合法合规飞行时长不低于50小时（以UOM系统统计时间为准）；</w:t>
            </w:r>
          </w:p>
          <w:p>
            <w:pPr>
              <w:pStyle w:val="null3"/>
            </w:pPr>
            <w:r>
              <w:rPr>
                <w:rFonts w:ascii="仿宋_GB2312" w:hAnsi="仿宋_GB2312" w:cs="仿宋_GB2312" w:eastAsia="仿宋_GB2312"/>
                <w:sz w:val="20"/>
                <w:color w:val="000000"/>
              </w:rPr>
              <w:t>（</w:t>
            </w:r>
            <w:r>
              <w:rPr>
                <w:rFonts w:ascii="仿宋_GB2312" w:hAnsi="仿宋_GB2312" w:cs="仿宋_GB2312" w:eastAsia="仿宋_GB2312"/>
                <w:sz w:val="20"/>
                <w:color w:val="000000"/>
              </w:rPr>
              <w:t>3）值守要求：服务站人员、无人机、车辆24小时全天候待命，接到指令30分钟内完成人员、设备等准备工作，并第一时间赶赴现场。</w:t>
            </w:r>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sz w:val="20"/>
                <w:color w:val="000000"/>
              </w:rPr>
              <w:t>（二）无人机信息管理平台</w:t>
            </w:r>
          </w:p>
          <w:p>
            <w:pPr>
              <w:pStyle w:val="null3"/>
            </w:pPr>
            <w:r>
              <w:rPr>
                <w:rFonts w:ascii="仿宋_GB2312" w:hAnsi="仿宋_GB2312" w:cs="仿宋_GB2312" w:eastAsia="仿宋_GB2312"/>
                <w:sz w:val="20"/>
                <w:color w:val="000000"/>
              </w:rPr>
              <w:t>1.具备成熟的无人机信息管理平台；</w:t>
            </w:r>
          </w:p>
          <w:p>
            <w:pPr>
              <w:pStyle w:val="null3"/>
            </w:pPr>
            <w:r>
              <w:rPr>
                <w:rFonts w:ascii="仿宋_GB2312" w:hAnsi="仿宋_GB2312" w:cs="仿宋_GB2312" w:eastAsia="仿宋_GB2312"/>
                <w:sz w:val="20"/>
                <w:color w:val="000000"/>
              </w:rPr>
              <w:t>2.平台需能够基于4G/5G网络实现实时图传、</w:t>
            </w:r>
            <w:r>
              <w:rPr>
                <w:rFonts w:ascii="仿宋_GB2312" w:hAnsi="仿宋_GB2312" w:cs="仿宋_GB2312" w:eastAsia="仿宋_GB2312"/>
                <w:sz w:val="21"/>
              </w:rPr>
              <w:t>站点信息管理</w:t>
            </w:r>
            <w:r>
              <w:rPr>
                <w:rFonts w:ascii="仿宋_GB2312" w:hAnsi="仿宋_GB2312" w:cs="仿宋_GB2312" w:eastAsia="仿宋_GB2312"/>
                <w:sz w:val="20"/>
              </w:rPr>
              <w:t>、</w:t>
            </w:r>
            <w:r>
              <w:rPr>
                <w:rFonts w:ascii="仿宋_GB2312" w:hAnsi="仿宋_GB2312" w:cs="仿宋_GB2312" w:eastAsia="仿宋_GB2312"/>
                <w:sz w:val="20"/>
                <w:color w:val="000000"/>
              </w:rPr>
              <w:t>状态监控、位置获取、飞手管理、飞行轨迹查询、历史数据回溯和保存等功能，支持12路及以上视频画面，</w:t>
            </w:r>
            <w:r>
              <w:rPr>
                <w:rFonts w:ascii="仿宋_GB2312" w:hAnsi="仿宋_GB2312" w:cs="仿宋_GB2312" w:eastAsia="仿宋_GB2312"/>
              </w:rPr>
              <w:t>支持无人机实时图传画面在多平台通过</w:t>
            </w:r>
            <w:r>
              <w:rPr>
                <w:rFonts w:ascii="仿宋_GB2312" w:hAnsi="仿宋_GB2312" w:cs="仿宋_GB2312" w:eastAsia="仿宋_GB2312"/>
              </w:rPr>
              <w:t>web查看</w:t>
            </w:r>
            <w:r>
              <w:rPr>
                <w:rFonts w:ascii="仿宋_GB2312" w:hAnsi="仿宋_GB2312" w:cs="仿宋_GB2312" w:eastAsia="仿宋_GB2312"/>
                <w:sz w:val="20"/>
                <w:color w:val="000000"/>
              </w:rPr>
              <w:t>；</w:t>
            </w:r>
          </w:p>
          <w:p>
            <w:pPr>
              <w:pStyle w:val="null3"/>
            </w:pPr>
            <w:r>
              <w:rPr>
                <w:rFonts w:ascii="仿宋_GB2312" w:hAnsi="仿宋_GB2312" w:cs="仿宋_GB2312" w:eastAsia="仿宋_GB2312"/>
                <w:sz w:val="20"/>
                <w:color w:val="000000"/>
              </w:rPr>
              <w:t>3.平台应采用数据加解密技术，对数据</w:t>
            </w:r>
            <w:r>
              <w:rPr>
                <w:rFonts w:ascii="仿宋_GB2312" w:hAnsi="仿宋_GB2312" w:cs="仿宋_GB2312" w:eastAsia="仿宋_GB2312"/>
                <w:sz w:val="20"/>
                <w:color w:val="000000"/>
              </w:rPr>
              <w:t>传输与存储环节实施双重加密保护，并配置严格的用户权限管理机制，确保数据传输防泄露、存储防篡改、访问防越权，全面保障信息安全</w:t>
            </w:r>
            <w:r>
              <w:rPr>
                <w:rFonts w:ascii="仿宋_GB2312" w:hAnsi="仿宋_GB2312" w:cs="仿宋_GB2312" w:eastAsia="仿宋_GB2312"/>
                <w:sz w:val="20"/>
                <w:color w:val="000000"/>
              </w:rPr>
              <w:t>。</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sz w:val="20"/>
                <w:color w:val="000000"/>
              </w:rPr>
              <w:t>（三）多场景应急巡查处置服务</w:t>
            </w:r>
          </w:p>
          <w:p>
            <w:pPr>
              <w:pStyle w:val="null3"/>
            </w:pPr>
            <w:r>
              <w:rPr>
                <w:rFonts w:ascii="仿宋_GB2312" w:hAnsi="仿宋_GB2312" w:cs="仿宋_GB2312" w:eastAsia="仿宋_GB2312"/>
                <w:sz w:val="20"/>
                <w:color w:val="000000"/>
              </w:rPr>
              <w:t>1.针对森林火灾、洪涝、地质灾害、安全生产事故等突发灾害，按甲方指令开展空中侦察、全景巡查，通过网络实时将无人机采集的视频数据在信息管理平台完整回传；</w:t>
            </w:r>
          </w:p>
          <w:p>
            <w:pPr>
              <w:pStyle w:val="null3"/>
            </w:pPr>
            <w:r>
              <w:rPr>
                <w:rFonts w:ascii="仿宋_GB2312" w:hAnsi="仿宋_GB2312" w:cs="仿宋_GB2312" w:eastAsia="仿宋_GB2312"/>
                <w:sz w:val="20"/>
                <w:color w:val="000000"/>
              </w:rPr>
              <w:t>2.无网络覆盖、弱网信号及通信中断等极端环境下，第一时间通过自组网或本地存储+网络恢复补传等方式保障视频数据的完整回传；</w:t>
            </w:r>
          </w:p>
          <w:p>
            <w:pPr>
              <w:pStyle w:val="null3"/>
            </w:pPr>
            <w:r>
              <w:rPr>
                <w:rFonts w:ascii="仿宋_GB2312" w:hAnsi="仿宋_GB2312" w:cs="仿宋_GB2312" w:eastAsia="仿宋_GB2312"/>
                <w:sz w:val="20"/>
                <w:color w:val="000000"/>
              </w:rPr>
              <w:t>3.配合甲方自有多旋翼无人机开展救援飞行及保障工作；</w:t>
            </w:r>
          </w:p>
          <w:p>
            <w:pPr>
              <w:pStyle w:val="null3"/>
            </w:pPr>
            <w:r>
              <w:rPr>
                <w:rFonts w:ascii="仿宋_GB2312" w:hAnsi="仿宋_GB2312" w:cs="仿宋_GB2312" w:eastAsia="仿宋_GB2312"/>
                <w:sz w:val="20"/>
                <w:color w:val="000000"/>
              </w:rPr>
              <w:t>4.参与甲方参加的省、市、县（区）应急演练任务，提供甲方自有无人机应用培训。</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sz w:val="20"/>
                <w:color w:val="000000"/>
              </w:rPr>
              <w:t>（四）现场三维建模服务</w:t>
            </w:r>
          </w:p>
          <w:p>
            <w:pPr>
              <w:pStyle w:val="null3"/>
            </w:pPr>
            <w:r>
              <w:rPr>
                <w:rFonts w:ascii="仿宋_GB2312" w:hAnsi="仿宋_GB2312" w:cs="仿宋_GB2312" w:eastAsia="仿宋_GB2312"/>
                <w:sz w:val="20"/>
                <w:color w:val="000000"/>
              </w:rPr>
              <w:t>1.提供灾害事故现场三维建模、倾斜摄影数据成果，精准还原地形地貌、损毁范围、空间态势；</w:t>
            </w:r>
          </w:p>
          <w:p>
            <w:pPr>
              <w:pStyle w:val="null3"/>
            </w:pPr>
            <w:r>
              <w:rPr>
                <w:rFonts w:ascii="仿宋_GB2312" w:hAnsi="仿宋_GB2312" w:cs="仿宋_GB2312" w:eastAsia="仿宋_GB2312"/>
                <w:sz w:val="20"/>
                <w:color w:val="000000"/>
              </w:rPr>
              <w:t>2.服务期内作业范围累计不超过30平方公里；</w:t>
            </w:r>
          </w:p>
          <w:p>
            <w:pPr>
              <w:pStyle w:val="null3"/>
            </w:pPr>
            <w:r>
              <w:rPr>
                <w:rFonts w:ascii="仿宋_GB2312" w:hAnsi="仿宋_GB2312" w:cs="仿宋_GB2312" w:eastAsia="仿宋_GB2312"/>
                <w:sz w:val="20"/>
                <w:color w:val="000000"/>
              </w:rPr>
              <w:t>3.三维模型精度不低于1:2000比例尺标准（即地面分辨率≤0.2米）；</w:t>
            </w:r>
          </w:p>
          <w:p>
            <w:pPr>
              <w:pStyle w:val="null3"/>
            </w:pPr>
            <w:r>
              <w:rPr>
                <w:rFonts w:ascii="仿宋_GB2312" w:hAnsi="仿宋_GB2312" w:cs="仿宋_GB2312" w:eastAsia="仿宋_GB2312"/>
                <w:sz w:val="20"/>
                <w:color w:val="000000"/>
              </w:rPr>
              <w:t>4.数据处理时长不超过2小时/平方公里；</w:t>
            </w:r>
          </w:p>
          <w:p>
            <w:pPr>
              <w:pStyle w:val="null3"/>
            </w:pPr>
            <w:r>
              <w:rPr>
                <w:rFonts w:ascii="仿宋_GB2312" w:hAnsi="仿宋_GB2312" w:cs="仿宋_GB2312" w:eastAsia="仿宋_GB2312"/>
                <w:sz w:val="20"/>
                <w:color w:val="000000"/>
              </w:rPr>
              <w:t>5.数据格式需为OSJB或OBG格式；</w:t>
            </w:r>
          </w:p>
          <w:p>
            <w:pPr>
              <w:pStyle w:val="null3"/>
            </w:pPr>
            <w:r>
              <w:rPr>
                <w:rFonts w:ascii="仿宋_GB2312" w:hAnsi="仿宋_GB2312" w:cs="仿宋_GB2312" w:eastAsia="仿宋_GB2312"/>
                <w:sz w:val="20"/>
                <w:color w:val="000000"/>
              </w:rPr>
              <w:t>6.支持站点或集中两种模式的数据处理。</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sz w:val="20"/>
                <w:color w:val="000000"/>
              </w:rPr>
              <w:t>（五）数据产权及保密要求</w:t>
            </w:r>
          </w:p>
          <w:p>
            <w:pPr>
              <w:pStyle w:val="null3"/>
            </w:pPr>
            <w:r>
              <w:rPr>
                <w:rFonts w:ascii="仿宋_GB2312" w:hAnsi="仿宋_GB2312" w:cs="仿宋_GB2312" w:eastAsia="仿宋_GB2312"/>
                <w:sz w:val="20"/>
                <w:color w:val="000000"/>
              </w:rPr>
              <w:t>1.本项目实施及完成后所有数据（实时图传、飞行轨迹、建模数据、历史备份数据等）产权自生成之日起归甲方单独所有；</w:t>
            </w:r>
          </w:p>
          <w:p>
            <w:pPr>
              <w:pStyle w:val="null3"/>
            </w:pPr>
            <w:r>
              <w:rPr>
                <w:rFonts w:ascii="仿宋_GB2312" w:hAnsi="仿宋_GB2312" w:cs="仿宋_GB2312" w:eastAsia="仿宋_GB2312"/>
                <w:sz w:val="20"/>
                <w:color w:val="000000"/>
              </w:rPr>
              <w:t>2.项目验收合格后，中标单位须向甲方交付所有原始/备份数据，确保甲方独立完整控制权；未经甲方许可，中标单位不得复制、传播、删除或用于商业宣传；</w:t>
            </w:r>
          </w:p>
          <w:p>
            <w:pPr>
              <w:pStyle w:val="null3"/>
            </w:pPr>
            <w:r>
              <w:rPr>
                <w:rFonts w:ascii="仿宋_GB2312" w:hAnsi="仿宋_GB2312" w:cs="仿宋_GB2312" w:eastAsia="仿宋_GB2312"/>
                <w:sz w:val="20"/>
                <w:color w:val="000000"/>
              </w:rPr>
              <w:t>3.中标单位向甲方提交的实时图传指挥系统与数据库建设成果、视频文件为涉密数据，需按照国家、省有关法规履行保密责任，泄密将追究法律责任；</w:t>
            </w:r>
          </w:p>
          <w:p>
            <w:pPr>
              <w:pStyle w:val="null3"/>
            </w:pPr>
            <w:r>
              <w:rPr>
                <w:rFonts w:ascii="仿宋_GB2312" w:hAnsi="仿宋_GB2312" w:cs="仿宋_GB2312" w:eastAsia="仿宋_GB2312"/>
                <w:sz w:val="20"/>
                <w:color w:val="000000"/>
              </w:rPr>
              <w:t>4.中标单位不得将数据在计算机互联网、政务网等非涉密网络登载、存储、发布，遵守《中华人民共和国保守国家秘密法》《中华人民共和国数据安全法》及政务数据分级保护要求；</w:t>
            </w:r>
          </w:p>
          <w:p>
            <w:pPr>
              <w:pStyle w:val="null3"/>
            </w:pPr>
            <w:r>
              <w:rPr>
                <w:rFonts w:ascii="仿宋_GB2312" w:hAnsi="仿宋_GB2312" w:cs="仿宋_GB2312" w:eastAsia="仿宋_GB2312"/>
                <w:sz w:val="20"/>
                <w:color w:val="000000"/>
              </w:rPr>
              <w:t>5.中标单位发生涉密数据外传、丢失、被盗、泄密事故，须立即补救并报告甲方，承担全部后果与责任；</w:t>
            </w:r>
          </w:p>
          <w:p>
            <w:pPr>
              <w:pStyle w:val="null3"/>
            </w:pPr>
            <w:r>
              <w:rPr>
                <w:rFonts w:ascii="仿宋_GB2312" w:hAnsi="仿宋_GB2312" w:cs="仿宋_GB2312" w:eastAsia="仿宋_GB2312"/>
                <w:sz w:val="20"/>
                <w:color w:val="000000"/>
              </w:rPr>
              <w:t>6.中标单位应具备加解密等数据安全保护技术，并应用于系统平台，保障应急数据安全。</w:t>
            </w:r>
          </w:p>
        </w:tc>
      </w:tr>
      <w:tr>
        <w:tc>
          <w:tcPr>
            <w:tcW w:type="dxa" w:w="2769"/>
          </w:tcPr>
          <w:p>
            <w:pPr>
              <w:pStyle w:val="null3"/>
            </w:pPr>
            <w:r>
              <w:rPr>
                <w:rFonts w:ascii="仿宋_GB2312" w:hAnsi="仿宋_GB2312" w:cs="仿宋_GB2312" w:eastAsia="仿宋_GB2312"/>
              </w:rPr>
              <w:t>7</w:t>
            </w:r>
          </w:p>
        </w:tc>
        <w:tc>
          <w:tcPr>
            <w:tcW w:type="dxa" w:w="2769"/>
          </w:tcPr>
          <w:p/>
        </w:tc>
        <w:tc>
          <w:tcPr>
            <w:tcW w:type="dxa" w:w="2769"/>
          </w:tcPr>
          <w:p>
            <w:pPr>
              <w:pStyle w:val="null3"/>
            </w:pPr>
            <w:r>
              <w:rPr>
                <w:rFonts w:ascii="仿宋_GB2312" w:hAnsi="仿宋_GB2312" w:cs="仿宋_GB2312" w:eastAsia="仿宋_GB2312"/>
                <w:sz w:val="20"/>
                <w:color w:val="000000"/>
              </w:rPr>
              <w:t>（六）其他要求</w:t>
            </w:r>
          </w:p>
          <w:p>
            <w:pPr>
              <w:pStyle w:val="null3"/>
            </w:pPr>
            <w:r>
              <w:rPr>
                <w:rFonts w:ascii="仿宋_GB2312" w:hAnsi="仿宋_GB2312" w:cs="仿宋_GB2312" w:eastAsia="仿宋_GB2312"/>
                <w:sz w:val="20"/>
                <w:color w:val="000000"/>
              </w:rPr>
              <w:t>1.合同签订10个工作日内中标单位需具备初步验收条件，包括但不限于将项目负责人、各站点无人机驾驶员以及备勤人员名单提交甲方备案，所需无人机、保障车辆到达指定地点，服务期内未经甲方同意不得更</w:t>
            </w:r>
            <w:r>
              <w:rPr>
                <w:rFonts w:ascii="仿宋_GB2312" w:hAnsi="仿宋_GB2312" w:cs="仿宋_GB2312" w:eastAsia="仿宋_GB2312"/>
                <w:sz w:val="20"/>
                <w:color w:val="000000"/>
              </w:rPr>
              <w:t>换；</w:t>
            </w:r>
          </w:p>
          <w:p>
            <w:pPr>
              <w:pStyle w:val="null3"/>
            </w:pPr>
            <w:r>
              <w:rPr>
                <w:rFonts w:ascii="仿宋_GB2312" w:hAnsi="仿宋_GB2312" w:cs="仿宋_GB2312" w:eastAsia="仿宋_GB2312"/>
                <w:sz w:val="20"/>
                <w:color w:val="000000"/>
              </w:rPr>
              <w:t>2.中标单位需自行前往进行实地应急信息采集、图传等作业，其间引起的各种工伤、安全事件、事故以及由此产生的一切后果，均由中标单位自行负责；</w:t>
            </w:r>
          </w:p>
          <w:p>
            <w:pPr>
              <w:pStyle w:val="null3"/>
            </w:pPr>
            <w:r>
              <w:rPr>
                <w:rFonts w:ascii="仿宋_GB2312" w:hAnsi="仿宋_GB2312" w:cs="仿宋_GB2312" w:eastAsia="仿宋_GB2312"/>
                <w:sz w:val="20"/>
                <w:color w:val="000000"/>
              </w:rPr>
              <w:t>3.无人机飞行作业所需空域由中标单位自行解决，过程中遵守通用航空法律法规，禁止在危及生命安全的环境下操作无人机；</w:t>
            </w:r>
          </w:p>
          <w:p>
            <w:pPr>
              <w:pStyle w:val="null3"/>
            </w:pPr>
            <w:r>
              <w:rPr>
                <w:rFonts w:ascii="仿宋_GB2312" w:hAnsi="仿宋_GB2312" w:cs="仿宋_GB2312" w:eastAsia="仿宋_GB2312"/>
                <w:sz w:val="20"/>
                <w:color w:val="000000"/>
              </w:rPr>
              <w:t>4.除不可抗力（如地震、台风、暴雪等无法预见、无法避免且无法克服的客观情况）外，中标单位不得拖延、推诿、拒绝执行甲方合理作业指令；</w:t>
            </w:r>
          </w:p>
          <w:p>
            <w:pPr>
              <w:pStyle w:val="null3"/>
            </w:pPr>
            <w:r>
              <w:rPr>
                <w:rFonts w:ascii="仿宋_GB2312" w:hAnsi="仿宋_GB2312" w:cs="仿宋_GB2312" w:eastAsia="仿宋_GB2312"/>
                <w:sz w:val="20"/>
                <w:color w:val="000000"/>
              </w:rPr>
              <w:t>5.服务期内甲方如有超出约定范围的合理需求，中标单位须配合完成，费用双方协商；</w:t>
            </w:r>
          </w:p>
          <w:p>
            <w:pPr>
              <w:pStyle w:val="null3"/>
            </w:pPr>
            <w:r>
              <w:rPr>
                <w:rFonts w:ascii="仿宋_GB2312" w:hAnsi="仿宋_GB2312" w:cs="仿宋_GB2312" w:eastAsia="仿宋_GB2312"/>
                <w:sz w:val="20"/>
                <w:color w:val="000000"/>
              </w:rPr>
              <w:t>6.建立飞行作业、巡查监测、数据成果交付等台账记录与审批流程，配合甲方全过程绩效管理与项目结算。</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项目交付验收（初验）合格之日起365天</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项目交付验收合格（初验）后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2026年12月31日前</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供应商需在线提交所有通过电子化交易平台实施的政府采购项目的响应文件，另外，在磋商截止时间前向代理机构递交密封、系统生成的纸质版响应文件壹份（胶装，封袋标注供应商名称和项目名称）。代理机构对递交的文件签收，由监标人查验密封情况并记录，开标后交磋商小组，作为评审的辅助资料。递交方式：现场递交，或顺丰快递邮寄。 2.供应商请仔细阅读采购文件《第一章 竞争性磋商邀请》第六条“电子化采购相关事项”，提前做好线上开标准备。 3.本项目磋商在采购系统线上进行，供应商需自行了解系统磋商的要求和操作流程。未按流程操作或无法联系以及供应商自身原因错过磋商的视为自动放弃磋商，其投标无效。 4.中小企业： ①是否属于小微企业，供应商按《政府采购促进中小企业发展管理办法》（财库〔2020〕46号）、《统计上大中小微型企业划分办法（2017）》（国统字﹝2017﹞213号）中软件和信息技术服务业标准判定，并承担责任。如判定原则与第四章及附件格式不一致的，以此为准。②若供应商填写的《中小企业声明函》中“采购文件中明确的所属行业”与采购文件第三章明确的标的所属行业不一致，将对供应商《中小企业声明函》中所填企业规模，按声明函中的资料进行复核，供应商应接受复核的结果，如无法复核，将不视为小微企业。 5.补充说明：本项目采用两轮报价，响应文件中的报价为首次报价，磋商后的报价为最终报价。 6.支付: 项目交付验收合格（初验）后支付合同总金额的 60.00%；2026年12月31日前 ，支付合同总金额的 40.00%。（中标单位需提供服务承诺函）。合同签订10个工作日内中标单位需具备初步验收条件，包括但不限于将项目负责人、各站点无人机驾驶员以及备勤人员名单提交甲方备案，所需无人机、保障车辆到达指定地点，服务期内未经甲方同意不得更换； 支付与第三章3.3.5支付约定不一致的，以此为准。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服务全部由符合政策要求的小微企业承接。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信用声明</w:t>
            </w:r>
          </w:p>
        </w:tc>
        <w:tc>
          <w:tcPr>
            <w:tcW w:type="dxa" w:w="3322"/>
          </w:tcPr>
          <w:p>
            <w:pPr>
              <w:pStyle w:val="null3"/>
            </w:pPr>
            <w:r>
              <w:rPr>
                <w:rFonts w:ascii="仿宋_GB2312" w:hAnsi="仿宋_GB2312" w:cs="仿宋_GB2312" w:eastAsia="仿宋_GB2312"/>
              </w:rPr>
              <w:t>未被信用中国网站列入失信被执行人和重大税收违法案件当事人名单、未被中国政府采购网列入政府采购严重违法失信行为记录名单（开标后系统查询）。提供参加本次政府采购活动前3年内在经营活动中没有重大违法记录（处罚期满除外）的书面声明。</w:t>
            </w:r>
          </w:p>
        </w:tc>
        <w:tc>
          <w:tcPr>
            <w:tcW w:type="dxa" w:w="1661"/>
          </w:tcPr>
          <w:p>
            <w:pPr>
              <w:pStyle w:val="null3"/>
            </w:pPr>
            <w:r>
              <w:rPr>
                <w:rFonts w:ascii="仿宋_GB2312" w:hAnsi="仿宋_GB2312" w:cs="仿宋_GB2312" w:eastAsia="仿宋_GB2312"/>
              </w:rPr>
              <w:t>信用声明.docx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供应商代表授权</w:t>
            </w:r>
          </w:p>
        </w:tc>
        <w:tc>
          <w:tcPr>
            <w:tcW w:type="dxa" w:w="3322"/>
          </w:tcPr>
          <w:p>
            <w:pPr>
              <w:pStyle w:val="null3"/>
            </w:pPr>
            <w:r>
              <w:rPr>
                <w:rFonts w:ascii="仿宋_GB2312" w:hAnsi="仿宋_GB2312" w:cs="仿宋_GB2312" w:eastAsia="仿宋_GB2312"/>
              </w:rPr>
              <w:t>提供法定代表人证明书及代表人授权委托书。</w:t>
            </w:r>
          </w:p>
        </w:tc>
        <w:tc>
          <w:tcPr>
            <w:tcW w:type="dxa" w:w="1661"/>
          </w:tcPr>
          <w:p>
            <w:pPr>
              <w:pStyle w:val="null3"/>
            </w:pPr>
            <w:r>
              <w:rPr>
                <w:rFonts w:ascii="仿宋_GB2312" w:hAnsi="仿宋_GB2312" w:cs="仿宋_GB2312" w:eastAsia="仿宋_GB2312"/>
              </w:rPr>
              <w:t>法定代表人证明书.docx 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联合体形式</w:t>
            </w:r>
          </w:p>
        </w:tc>
        <w:tc>
          <w:tcPr>
            <w:tcW w:type="dxa" w:w="3322"/>
          </w:tcPr>
          <w:p>
            <w:pPr>
              <w:pStyle w:val="null3"/>
            </w:pPr>
            <w:r>
              <w:rPr>
                <w:rFonts w:ascii="仿宋_GB2312" w:hAnsi="仿宋_GB2312" w:cs="仿宋_GB2312" w:eastAsia="仿宋_GB2312"/>
              </w:rPr>
              <w:t>不接受联合体磋商，提供非联合体声明。</w:t>
            </w:r>
          </w:p>
        </w:tc>
        <w:tc>
          <w:tcPr>
            <w:tcW w:type="dxa" w:w="1661"/>
          </w:tcPr>
          <w:p>
            <w:pPr>
              <w:pStyle w:val="null3"/>
            </w:pPr>
            <w:r>
              <w:rPr>
                <w:rFonts w:ascii="仿宋_GB2312" w:hAnsi="仿宋_GB2312" w:cs="仿宋_GB2312" w:eastAsia="仿宋_GB2312"/>
              </w:rPr>
              <w:t>非联合体声明.docx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w:t>
            </w:r>
          </w:p>
        </w:tc>
        <w:tc>
          <w:tcPr>
            <w:tcW w:type="dxa" w:w="3322"/>
          </w:tcPr>
          <w:p>
            <w:pPr>
              <w:pStyle w:val="null3"/>
            </w:pPr>
            <w:r>
              <w:rPr>
                <w:rFonts w:ascii="仿宋_GB2312" w:hAnsi="仿宋_GB2312" w:cs="仿宋_GB2312" w:eastAsia="仿宋_GB2312"/>
              </w:rPr>
              <w:t>供应商应按格式填写单位名称，至少以下文件的名称须和营业执照、公章一致：1.响应文件封面。2.响应函</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首次投标报价</w:t>
            </w:r>
          </w:p>
        </w:tc>
        <w:tc>
          <w:tcPr>
            <w:tcW w:type="dxa" w:w="3322"/>
          </w:tcPr>
          <w:p>
            <w:pPr>
              <w:pStyle w:val="null3"/>
            </w:pPr>
            <w:r>
              <w:rPr>
                <w:rFonts w:ascii="仿宋_GB2312" w:hAnsi="仿宋_GB2312" w:cs="仿宋_GB2312" w:eastAsia="仿宋_GB2312"/>
              </w:rPr>
              <w:t>未超过采购预算且无选择性报价</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w:t>
            </w:r>
          </w:p>
        </w:tc>
        <w:tc>
          <w:tcPr>
            <w:tcW w:type="dxa" w:w="3322"/>
          </w:tcPr>
          <w:p>
            <w:pPr>
              <w:pStyle w:val="null3"/>
            </w:pPr>
            <w:r>
              <w:rPr>
                <w:rFonts w:ascii="仿宋_GB2312" w:hAnsi="仿宋_GB2312" w:cs="仿宋_GB2312" w:eastAsia="仿宋_GB2312"/>
              </w:rPr>
              <w:t>不少于90个日历日</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项目交付验收（初验）合格之日起365天</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服务地点</w:t>
            </w:r>
          </w:p>
        </w:tc>
        <w:tc>
          <w:tcPr>
            <w:tcW w:type="dxa" w:w="3322"/>
          </w:tcPr>
          <w:p>
            <w:pPr>
              <w:pStyle w:val="null3"/>
            </w:pPr>
            <w:r>
              <w:rPr>
                <w:rFonts w:ascii="仿宋_GB2312" w:hAnsi="仿宋_GB2312" w:cs="仿宋_GB2312" w:eastAsia="仿宋_GB2312"/>
              </w:rPr>
              <w:t>采购人指定地点</w:t>
            </w:r>
          </w:p>
        </w:tc>
        <w:tc>
          <w:tcPr>
            <w:tcW w:type="dxa" w:w="1661"/>
          </w:tcPr>
          <w:p>
            <w:pPr>
              <w:pStyle w:val="null3"/>
            </w:pPr>
            <w:r>
              <w:rPr>
                <w:rFonts w:ascii="仿宋_GB2312" w:hAnsi="仿宋_GB2312" w:cs="仿宋_GB2312" w:eastAsia="仿宋_GB2312"/>
              </w:rPr>
              <w:t>报价表</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无人机</w:t>
            </w:r>
          </w:p>
        </w:tc>
        <w:tc>
          <w:tcPr>
            <w:tcW w:type="dxa" w:w="3322"/>
          </w:tcPr>
          <w:p>
            <w:pPr>
              <w:pStyle w:val="null3"/>
            </w:pPr>
            <w:r>
              <w:rPr>
                <w:rFonts w:ascii="仿宋_GB2312" w:hAnsi="仿宋_GB2312" w:cs="仿宋_GB2312" w:eastAsia="仿宋_GB2312"/>
              </w:rPr>
              <w:t>1.所配置无人机数量满13台。 2.所配置无人机参数满足采购要求（见第三章/3.2.2服务要求/★（1）无人机参数）。 无人机数量及参数不满足采购要求的为无效投标。 注：1.需提供无人机参数证明材料，证明材料不限于产品说明书、技术手册、官网截图、公开发行的宣传册/页等。2.无人机参数要求“第9条”提供承诺书。</w:t>
            </w:r>
          </w:p>
        </w:tc>
        <w:tc>
          <w:tcPr>
            <w:tcW w:type="dxa" w:w="1661"/>
          </w:tcPr>
          <w:p>
            <w:pPr>
              <w:pStyle w:val="null3"/>
            </w:pPr>
            <w:r>
              <w:rPr>
                <w:rFonts w:ascii="仿宋_GB2312" w:hAnsi="仿宋_GB2312" w:cs="仿宋_GB2312" w:eastAsia="仿宋_GB2312"/>
              </w:rPr>
              <w:t>拟投入的无人机.docx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无人机操控员</w:t>
            </w:r>
          </w:p>
        </w:tc>
        <w:tc>
          <w:tcPr>
            <w:tcW w:type="dxa" w:w="3322"/>
          </w:tcPr>
          <w:p>
            <w:pPr>
              <w:pStyle w:val="null3"/>
            </w:pPr>
            <w:r>
              <w:rPr>
                <w:rFonts w:ascii="仿宋_GB2312" w:hAnsi="仿宋_GB2312" w:cs="仿宋_GB2312" w:eastAsia="仿宋_GB2312"/>
              </w:rPr>
              <w:t>1.拟配无人机操控员人数不少于13人。 2.拟配无人机操控员须持有中国民用航空局（CAAC）核发的有效无人驾驶航空器操控员执照。其中，具备小型多旋翼无人机超视距（BVLOS）及以上操控员执照的人员数量不少于6名；其余人员所持执照等级不低于小型Ⅲ类无人机视距内（VLOS）操控员执照。所有无人机操控员均需满足以下条件之一：操控员执照取证时间满1年及以上或累计合法合规飞行时长不低于50小时（以UOM系统统计时间为准）； 注：提供UOM系统查询截图。</w:t>
            </w:r>
          </w:p>
        </w:tc>
        <w:tc>
          <w:tcPr>
            <w:tcW w:type="dxa" w:w="1661"/>
          </w:tcPr>
          <w:p>
            <w:pPr>
              <w:pStyle w:val="null3"/>
            </w:pPr>
            <w:r>
              <w:rPr>
                <w:rFonts w:ascii="仿宋_GB2312" w:hAnsi="仿宋_GB2312" w:cs="仿宋_GB2312" w:eastAsia="仿宋_GB2312"/>
              </w:rPr>
              <w:t>无人机操控员明细表.docx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主要商务条款</w:t>
            </w:r>
          </w:p>
        </w:tc>
        <w:tc>
          <w:tcPr>
            <w:tcW w:type="dxa" w:w="3322"/>
          </w:tcPr>
          <w:p>
            <w:pPr>
              <w:pStyle w:val="null3"/>
            </w:pPr>
            <w:r>
              <w:rPr>
                <w:rFonts w:ascii="仿宋_GB2312" w:hAnsi="仿宋_GB2312" w:cs="仿宋_GB2312" w:eastAsia="仿宋_GB2312"/>
              </w:rPr>
              <w:t>支付约定：项目交付验收合格（初验）后支付合同总金额的60.00%；2026年12月31日前 ，支付合同总金额的 40.00%。（中标单位需提供服务承诺函）。合同签订10个工作日内中标单位需具备初步验收条件，包括但不限于将项目负责人、各站点无人机驾驶员以及备勤人员名单提交甲方备案，所需无人机、保障车辆到达指定地点，服务期内未经甲方同意不得更换。</w:t>
            </w:r>
          </w:p>
        </w:tc>
        <w:tc>
          <w:tcPr>
            <w:tcW w:type="dxa" w:w="1661"/>
          </w:tcPr>
          <w:p>
            <w:pPr>
              <w:pStyle w:val="null3"/>
            </w:pPr>
            <w:r>
              <w:rPr>
                <w:rFonts w:ascii="仿宋_GB2312" w:hAnsi="仿宋_GB2312" w:cs="仿宋_GB2312" w:eastAsia="仿宋_GB2312"/>
              </w:rPr>
              <w:t>主要商务条款响应偏离表.docx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对项目重难点分析</w:t>
            </w:r>
          </w:p>
        </w:tc>
        <w:tc>
          <w:tcPr>
            <w:tcW w:type="dxa" w:w="2492"/>
          </w:tcPr>
          <w:p>
            <w:pPr>
              <w:pStyle w:val="null3"/>
            </w:pPr>
            <w:r>
              <w:rPr>
                <w:rFonts w:ascii="仿宋_GB2312" w:hAnsi="仿宋_GB2312" w:cs="仿宋_GB2312" w:eastAsia="仿宋_GB2312"/>
              </w:rPr>
              <w:t>了解无人机应急巡查监测相关内容和机制，对项目需求理解深刻，对影响因素梳理全面，对项目工作重点、难点认识准确，描述清晰，能对重点难点提出针对性的工作思路，工作思路清晰，计3分，每有一处缺陷扣0.5分，扣完为止。 注：缺陷是指内容存在不完整或缺少关键点、只有简单描述、粗略无实质性内容；存在相互矛盾的内容、逻辑错误；非专门针对本项目或不适用本项目特性、套用其他项目内容；不利于本项目的实施、现有技术条件下不可能出现的情形的任意一种情形。</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对项目重难点分析.docx</w:t>
            </w:r>
          </w:p>
        </w:tc>
      </w:tr>
      <w:tr>
        <w:tc>
          <w:tcPr>
            <w:tcW w:type="dxa" w:w="831"/>
            <w:vMerge/>
          </w:tcPr>
          <w:p/>
        </w:tc>
        <w:tc>
          <w:tcPr>
            <w:tcW w:type="dxa" w:w="1661"/>
          </w:tcPr>
          <w:p>
            <w:pPr>
              <w:pStyle w:val="null3"/>
            </w:pPr>
            <w:r>
              <w:rPr>
                <w:rFonts w:ascii="仿宋_GB2312" w:hAnsi="仿宋_GB2312" w:cs="仿宋_GB2312" w:eastAsia="仿宋_GB2312"/>
              </w:rPr>
              <w:t>多场景应急巡查处置服务方案</w:t>
            </w:r>
          </w:p>
        </w:tc>
        <w:tc>
          <w:tcPr>
            <w:tcW w:type="dxa" w:w="2492"/>
          </w:tcPr>
          <w:p>
            <w:pPr>
              <w:pStyle w:val="null3"/>
            </w:pPr>
            <w:r>
              <w:rPr>
                <w:rFonts w:ascii="仿宋_GB2312" w:hAnsi="仿宋_GB2312" w:cs="仿宋_GB2312" w:eastAsia="仿宋_GB2312"/>
              </w:rPr>
              <w:t>供应商应根据自身实力和经验以及采购需求提供多场景应急巡查处置服务方案，方案包括但不限于①灾害巡查机制②多场景巡查工作内容③处置技术措施④救援配合保障⑤协同应急演练⑥设备投入等。 方案完整，内容详实，符合应急救援的特点，能较好的实现应急救援数据支撑与信息化保障需求，满足本项目采购需求针对性可行性强，计24分；每缺少一项扣4分；每项中每有一处缺陷扣1分，扣完为止。注：缺陷表述同上。</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多场景应急巡查处置服务方案.docx</w:t>
            </w:r>
          </w:p>
        </w:tc>
      </w:tr>
      <w:tr>
        <w:tc>
          <w:tcPr>
            <w:tcW w:type="dxa" w:w="831"/>
            <w:vMerge/>
          </w:tcPr>
          <w:p/>
        </w:tc>
        <w:tc>
          <w:tcPr>
            <w:tcW w:type="dxa" w:w="1661"/>
          </w:tcPr>
          <w:p>
            <w:pPr>
              <w:pStyle w:val="null3"/>
            </w:pPr>
            <w:r>
              <w:rPr>
                <w:rFonts w:ascii="仿宋_GB2312" w:hAnsi="仿宋_GB2312" w:cs="仿宋_GB2312" w:eastAsia="仿宋_GB2312"/>
              </w:rPr>
              <w:t>现场三维建模服务方案</w:t>
            </w:r>
          </w:p>
        </w:tc>
        <w:tc>
          <w:tcPr>
            <w:tcW w:type="dxa" w:w="2492"/>
          </w:tcPr>
          <w:p>
            <w:pPr>
              <w:pStyle w:val="null3"/>
            </w:pPr>
            <w:r>
              <w:rPr>
                <w:rFonts w:ascii="仿宋_GB2312" w:hAnsi="仿宋_GB2312" w:cs="仿宋_GB2312" w:eastAsia="仿宋_GB2312"/>
              </w:rPr>
              <w:t>供应商应根据自身实力和经验以及采购需求提供现场三维建模服务方案，方案包括但不限于①建模内容②建模方法③建模标准④技术措施⑤提交成果等。 方案完整，内容详实，符合应急救援的特点，能较好的实现应急救援数据支撑与信息化保障需求，针对性可行性强，计10分；每缺少一项扣2分；每项中每有一处缺陷扣0.5分，扣完为止。注：缺陷表述同上。</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现场三维建模服务方案.docx</w:t>
            </w:r>
          </w:p>
        </w:tc>
      </w:tr>
      <w:tr>
        <w:tc>
          <w:tcPr>
            <w:tcW w:type="dxa" w:w="831"/>
            <w:vMerge/>
          </w:tcPr>
          <w:p/>
        </w:tc>
        <w:tc>
          <w:tcPr>
            <w:tcW w:type="dxa" w:w="1661"/>
          </w:tcPr>
          <w:p>
            <w:pPr>
              <w:pStyle w:val="null3"/>
            </w:pPr>
            <w:r>
              <w:rPr>
                <w:rFonts w:ascii="仿宋_GB2312" w:hAnsi="仿宋_GB2312" w:cs="仿宋_GB2312" w:eastAsia="仿宋_GB2312"/>
              </w:rPr>
              <w:t>无人机信息管理平台</w:t>
            </w:r>
          </w:p>
        </w:tc>
        <w:tc>
          <w:tcPr>
            <w:tcW w:type="dxa" w:w="2492"/>
          </w:tcPr>
          <w:p>
            <w:pPr>
              <w:pStyle w:val="null3"/>
            </w:pPr>
            <w:r>
              <w:rPr>
                <w:rFonts w:ascii="仿宋_GB2312" w:hAnsi="仿宋_GB2312" w:cs="仿宋_GB2312" w:eastAsia="仿宋_GB2312"/>
              </w:rPr>
              <w:t>提供无人机信息管理平台的软著证书。得3分。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无人机信息管理平台.docx</w:t>
            </w:r>
          </w:p>
        </w:tc>
      </w:tr>
      <w:tr>
        <w:tc>
          <w:tcPr>
            <w:tcW w:type="dxa" w:w="831"/>
            <w:vMerge/>
          </w:tcPr>
          <w:p/>
        </w:tc>
        <w:tc>
          <w:tcPr>
            <w:tcW w:type="dxa" w:w="1661"/>
          </w:tcPr>
          <w:p>
            <w:pPr>
              <w:pStyle w:val="null3"/>
            </w:pPr>
            <w:r>
              <w:rPr>
                <w:rFonts w:ascii="仿宋_GB2312" w:hAnsi="仿宋_GB2312" w:cs="仿宋_GB2312" w:eastAsia="仿宋_GB2312"/>
              </w:rPr>
              <w:t>无人机信息管理平台功能演示</w:t>
            </w:r>
          </w:p>
        </w:tc>
        <w:tc>
          <w:tcPr>
            <w:tcW w:type="dxa" w:w="2492"/>
          </w:tcPr>
          <w:p>
            <w:pPr>
              <w:pStyle w:val="null3"/>
            </w:pPr>
            <w:r>
              <w:rPr>
                <w:rFonts w:ascii="仿宋_GB2312" w:hAnsi="仿宋_GB2312" w:cs="仿宋_GB2312" w:eastAsia="仿宋_GB2312"/>
              </w:rPr>
              <w:t>供应商需在评标现场提供真实环境下的“无人机信息管理平台”功能演示（时长不超过15分，含接驳设备和系统）。演示功能至少包括：①基于4G/5G网络实现实时图传、②站点信息管理、③状态监控、④位置获取、⑤飞手管理、⑥飞行轨迹查询、⑦历史数据回溯和保存等功能，⑧支持12路及以上视频画面，⑨支持无人机实时图传画面在多平台通过web查看。⑩用户权限管理等。 每个功能明确、界面友好、操作简便、演示流畅，得2.5分，每有一处缺陷扣0.5分，扣完为止。 注：①缺陷表述同上。②演示可现场演示也可通过腾讯会议共享屏幕演示，评标现场仅提供带有HDMI接口的投影仪。③不接受使用预录制视频、PPT、DEMO类演示。④若通过腾讯会议远程演示的，开标结束后，代理公司通过电话告知供应商腾讯会议室房间号（联系供应商系统报名时所预留电话，开标当天请务必保持电话畅通），接到电话通知后供应商加入会议室进行演示，因联系不到供应商引起的不利后果，供应商自行承担。</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无人机信息管理平台功能演示.docx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供应商应根据自身实力和经验，提供针对本项目详细的不同场景的应急处置方案，应急预案包括但不限于①现场通讯中断②天气影响③设备故障等。 预案全面，应急机制健全，响应迅速，处置措施具体，针对性可行性强，计6分；每缺少一项扣2分；每项中每有一处缺陷扣0.5分，扣完为止。注：缺陷表述同上。</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应急预案.docx</w:t>
            </w:r>
          </w:p>
        </w:tc>
      </w:tr>
      <w:tr>
        <w:tc>
          <w:tcPr>
            <w:tcW w:type="dxa" w:w="831"/>
            <w:vMerge/>
          </w:tcPr>
          <w:p/>
        </w:tc>
        <w:tc>
          <w:tcPr>
            <w:tcW w:type="dxa" w:w="1661"/>
          </w:tcPr>
          <w:p>
            <w:pPr>
              <w:pStyle w:val="null3"/>
            </w:pPr>
            <w:r>
              <w:rPr>
                <w:rFonts w:ascii="仿宋_GB2312" w:hAnsi="仿宋_GB2312" w:cs="仿宋_GB2312" w:eastAsia="仿宋_GB2312"/>
              </w:rPr>
              <w:t>服务团队及管理制度</w:t>
            </w:r>
          </w:p>
        </w:tc>
        <w:tc>
          <w:tcPr>
            <w:tcW w:type="dxa" w:w="2492"/>
          </w:tcPr>
          <w:p>
            <w:pPr>
              <w:pStyle w:val="null3"/>
            </w:pPr>
            <w:r>
              <w:rPr>
                <w:rFonts w:ascii="仿宋_GB2312" w:hAnsi="仿宋_GB2312" w:cs="仿宋_GB2312" w:eastAsia="仿宋_GB2312"/>
              </w:rPr>
              <w:t>1.服务团队架构健全，人员配置具体，分工明确，责任清晰，能有效开展本项目保障工作，计2分，每有一处缺陷扣0.5分，扣完为止。 2.提供人员管理制度（包括但不限于考勤、培训、考核、设备维护、值班、安全等），管理制度完整，内容详细，能保证服务期间的人员的管理和项目实施，计2分，每有一处缺陷扣0.5分，扣完为止。 注：缺陷表述同上。</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服务团队及管理制度.docx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提供甲方自有无人机应用培训，培训方案包括但不限与培训人员投入，培训方式、地点，培训目标以及材料等。 方案内容完整，措施具体，针对性可行性强，计2分，每有一处缺陷扣0.5分，扣完为止。注：缺陷表述同上。</w:t>
            </w:r>
          </w:p>
        </w:tc>
        <w:tc>
          <w:tcPr>
            <w:tcW w:type="dxa" w:w="831"/>
          </w:tcPr>
          <w:p>
            <w:pPr>
              <w:pStyle w:val="null3"/>
              <w:jc w:val="right"/>
            </w:pPr>
            <w:r>
              <w:rPr>
                <w:rFonts w:ascii="仿宋_GB2312" w:hAnsi="仿宋_GB2312" w:cs="仿宋_GB2312" w:eastAsia="仿宋_GB2312"/>
              </w:rPr>
              <w:t>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培训方案.docx</w:t>
            </w:r>
          </w:p>
        </w:tc>
      </w:tr>
      <w:tr>
        <w:tc>
          <w:tcPr>
            <w:tcW w:type="dxa" w:w="831"/>
            <w:vMerge/>
          </w:tcPr>
          <w:p/>
        </w:tc>
        <w:tc>
          <w:tcPr>
            <w:tcW w:type="dxa" w:w="1661"/>
          </w:tcPr>
          <w:p>
            <w:pPr>
              <w:pStyle w:val="null3"/>
            </w:pPr>
            <w:r>
              <w:rPr>
                <w:rFonts w:ascii="仿宋_GB2312" w:hAnsi="仿宋_GB2312" w:cs="仿宋_GB2312" w:eastAsia="仿宋_GB2312"/>
              </w:rPr>
              <w:t>保密制度</w:t>
            </w:r>
          </w:p>
        </w:tc>
        <w:tc>
          <w:tcPr>
            <w:tcW w:type="dxa" w:w="2492"/>
          </w:tcPr>
          <w:p>
            <w:pPr>
              <w:pStyle w:val="null3"/>
            </w:pPr>
            <w:r>
              <w:rPr>
                <w:rFonts w:ascii="仿宋_GB2312" w:hAnsi="仿宋_GB2312" w:cs="仿宋_GB2312" w:eastAsia="仿宋_GB2312"/>
              </w:rPr>
              <w:t>保密机制健全，制度完善，内容详细，针对性可行性强，计3分，每有一处缺陷扣0.5分，扣完为止。注：①需提供保密承诺书，未提供的不得分。②缺陷表述同上。</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保密制度.docx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根据供应商提供的2022年1月1日至今应急部门无人机服务业绩赋分。 1.市级及以上，每个业绩得2分。 2.县级，每个业绩1分。 本项满分10分。 注：①业绩以合同为准，时间以合同签订时间为准。②需要提供合同扫描件（至少包括合同首页、主要内容页、签字页）。未提供或合同内容不能显示工作内容的，其业绩不予认定。</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业绩情况表.docx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价格分采用低价优先法，即实质性满足磋商文件要求且最终磋商报价最低的为磋商基准价，其价格分为满分10分。其他供应商的价格分按照下列公式计算：磋商报价得分=（磋商基准价/磋商报价）×10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详见附件：法定代表人授权委托书.docx</w:t>
      </w:r>
    </w:p>
    <w:p>
      <w:pPr>
        <w:pStyle w:val="null3"/>
        <w:ind w:firstLine="960"/>
      </w:pPr>
      <w:r>
        <w:rPr>
          <w:rFonts w:ascii="仿宋_GB2312" w:hAnsi="仿宋_GB2312" w:cs="仿宋_GB2312" w:eastAsia="仿宋_GB2312"/>
        </w:rPr>
        <w:t>详见附件：法定代表人证明书.docx</w:t>
      </w:r>
    </w:p>
    <w:p>
      <w:pPr>
        <w:pStyle w:val="null3"/>
        <w:ind w:firstLine="960"/>
      </w:pPr>
      <w:r>
        <w:rPr>
          <w:rFonts w:ascii="仿宋_GB2312" w:hAnsi="仿宋_GB2312" w:cs="仿宋_GB2312" w:eastAsia="仿宋_GB2312"/>
        </w:rPr>
        <w:t>详见附件：非联合体声明.docx</w:t>
      </w:r>
    </w:p>
    <w:p>
      <w:pPr>
        <w:pStyle w:val="null3"/>
        <w:ind w:firstLine="960"/>
      </w:pPr>
      <w:r>
        <w:rPr>
          <w:rFonts w:ascii="仿宋_GB2312" w:hAnsi="仿宋_GB2312" w:cs="仿宋_GB2312" w:eastAsia="仿宋_GB2312"/>
        </w:rPr>
        <w:t>详见附件：信用声明.docx</w:t>
      </w:r>
    </w:p>
    <w:p>
      <w:pPr>
        <w:pStyle w:val="null3"/>
        <w:ind w:firstLine="960"/>
      </w:pPr>
      <w:r>
        <w:rPr>
          <w:rFonts w:ascii="仿宋_GB2312" w:hAnsi="仿宋_GB2312" w:cs="仿宋_GB2312" w:eastAsia="仿宋_GB2312"/>
        </w:rPr>
        <w:t>详见附件：保密制度.docx</w:t>
      </w:r>
    </w:p>
    <w:p>
      <w:pPr>
        <w:pStyle w:val="null3"/>
        <w:ind w:firstLine="960"/>
      </w:pPr>
      <w:r>
        <w:rPr>
          <w:rFonts w:ascii="仿宋_GB2312" w:hAnsi="仿宋_GB2312" w:cs="仿宋_GB2312" w:eastAsia="仿宋_GB2312"/>
        </w:rPr>
        <w:t>详见附件：对项目重难点分析.docx</w:t>
      </w:r>
    </w:p>
    <w:p>
      <w:pPr>
        <w:pStyle w:val="null3"/>
        <w:ind w:firstLine="960"/>
      </w:pPr>
      <w:r>
        <w:rPr>
          <w:rFonts w:ascii="仿宋_GB2312" w:hAnsi="仿宋_GB2312" w:cs="仿宋_GB2312" w:eastAsia="仿宋_GB2312"/>
        </w:rPr>
        <w:t>详见附件：多场景应急巡查处置服务方案.docx</w:t>
      </w:r>
    </w:p>
    <w:p>
      <w:pPr>
        <w:pStyle w:val="null3"/>
        <w:ind w:firstLine="960"/>
      </w:pPr>
      <w:r>
        <w:rPr>
          <w:rFonts w:ascii="仿宋_GB2312" w:hAnsi="仿宋_GB2312" w:cs="仿宋_GB2312" w:eastAsia="仿宋_GB2312"/>
        </w:rPr>
        <w:t>详见附件：服务团队及管理制度.docx</w:t>
      </w:r>
    </w:p>
    <w:p>
      <w:pPr>
        <w:pStyle w:val="null3"/>
        <w:ind w:firstLine="960"/>
      </w:pPr>
      <w:r>
        <w:rPr>
          <w:rFonts w:ascii="仿宋_GB2312" w:hAnsi="仿宋_GB2312" w:cs="仿宋_GB2312" w:eastAsia="仿宋_GB2312"/>
        </w:rPr>
        <w:t>详见附件：拟投入的无人机.docx</w:t>
      </w:r>
    </w:p>
    <w:p>
      <w:pPr>
        <w:pStyle w:val="null3"/>
        <w:ind w:firstLine="960"/>
      </w:pPr>
      <w:r>
        <w:rPr>
          <w:rFonts w:ascii="仿宋_GB2312" w:hAnsi="仿宋_GB2312" w:cs="仿宋_GB2312" w:eastAsia="仿宋_GB2312"/>
        </w:rPr>
        <w:t>详见附件：培训方案.docx</w:t>
      </w:r>
    </w:p>
    <w:p>
      <w:pPr>
        <w:pStyle w:val="null3"/>
        <w:ind w:firstLine="960"/>
      </w:pPr>
      <w:r>
        <w:rPr>
          <w:rFonts w:ascii="仿宋_GB2312" w:hAnsi="仿宋_GB2312" w:cs="仿宋_GB2312" w:eastAsia="仿宋_GB2312"/>
        </w:rPr>
        <w:t>详见附件：无人机操控员明细表.docx</w:t>
      </w:r>
    </w:p>
    <w:p>
      <w:pPr>
        <w:pStyle w:val="null3"/>
        <w:ind w:firstLine="960"/>
      </w:pPr>
      <w:r>
        <w:rPr>
          <w:rFonts w:ascii="仿宋_GB2312" w:hAnsi="仿宋_GB2312" w:cs="仿宋_GB2312" w:eastAsia="仿宋_GB2312"/>
        </w:rPr>
        <w:t>详见附件：无人机信息管理平台.docx</w:t>
      </w:r>
    </w:p>
    <w:p>
      <w:pPr>
        <w:pStyle w:val="null3"/>
        <w:ind w:firstLine="960"/>
      </w:pPr>
      <w:r>
        <w:rPr>
          <w:rFonts w:ascii="仿宋_GB2312" w:hAnsi="仿宋_GB2312" w:cs="仿宋_GB2312" w:eastAsia="仿宋_GB2312"/>
        </w:rPr>
        <w:t>详见附件：无人机信息管理平台功能演示.docx</w:t>
      </w:r>
    </w:p>
    <w:p>
      <w:pPr>
        <w:pStyle w:val="null3"/>
        <w:ind w:firstLine="960"/>
      </w:pPr>
      <w:r>
        <w:rPr>
          <w:rFonts w:ascii="仿宋_GB2312" w:hAnsi="仿宋_GB2312" w:cs="仿宋_GB2312" w:eastAsia="仿宋_GB2312"/>
        </w:rPr>
        <w:t>详见附件：现场三维建模服务方案.docx</w:t>
      </w:r>
    </w:p>
    <w:p>
      <w:pPr>
        <w:pStyle w:val="null3"/>
        <w:ind w:firstLine="960"/>
      </w:pPr>
      <w:r>
        <w:rPr>
          <w:rFonts w:ascii="仿宋_GB2312" w:hAnsi="仿宋_GB2312" w:cs="仿宋_GB2312" w:eastAsia="仿宋_GB2312"/>
        </w:rPr>
        <w:t>详见附件：业绩情况表.docx</w:t>
      </w:r>
    </w:p>
    <w:p>
      <w:pPr>
        <w:pStyle w:val="null3"/>
        <w:ind w:firstLine="960"/>
      </w:pPr>
      <w:r>
        <w:rPr>
          <w:rFonts w:ascii="仿宋_GB2312" w:hAnsi="仿宋_GB2312" w:cs="仿宋_GB2312" w:eastAsia="仿宋_GB2312"/>
        </w:rPr>
        <w:t>详见附件：应急预案.docx</w:t>
      </w:r>
    </w:p>
    <w:p>
      <w:pPr>
        <w:pStyle w:val="null3"/>
        <w:ind w:firstLine="960"/>
      </w:pPr>
      <w:r>
        <w:rPr>
          <w:rFonts w:ascii="仿宋_GB2312" w:hAnsi="仿宋_GB2312" w:cs="仿宋_GB2312" w:eastAsia="仿宋_GB2312"/>
        </w:rPr>
        <w:t>详见附件：主要商务条款响应偏离表.docx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