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版本号：LZBB2026-36620260423001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陕西省药品安全监管综合业务系统2026年运维服务项目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LZBB2026-366</w:t>
      </w:r>
      <w:r>
        <w:br/>
      </w:r>
      <w:r>
        <w:br/>
      </w:r>
      <w:r>
        <w:br/>
      </w:r>
    </w:p>
    <w:p>
      <w:pPr>
        <w:pStyle w:val="null3"/>
        <w:jc w:val="center"/>
        <w:outlineLvl w:val="5"/>
      </w:pPr>
      <w:r>
        <w:rPr>
          <w:rFonts w:ascii="仿宋_GB2312" w:hAnsi="仿宋_GB2312" w:cs="仿宋_GB2312" w:eastAsia="仿宋_GB2312"/>
          <w:sz w:val="15"/>
          <w:b/>
        </w:rPr>
        <w:t>陕西省药品监督管理局机关</w:t>
      </w:r>
    </w:p>
    <w:p>
      <w:pPr>
        <w:pStyle w:val="null3"/>
        <w:jc w:val="center"/>
        <w:outlineLvl w:val="5"/>
      </w:pPr>
      <w:r>
        <w:rPr>
          <w:rFonts w:ascii="仿宋_GB2312" w:hAnsi="仿宋_GB2312" w:cs="仿宋_GB2312" w:eastAsia="仿宋_GB2312"/>
          <w:sz w:val="15"/>
          <w:b/>
        </w:rPr>
        <w:t>龙寰项目管理咨询有限公司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陕西省药品监督管理局机关</w:t>
      </w:r>
      <w:r>
        <w:rPr>
          <w:rFonts w:ascii="仿宋_GB2312" w:hAnsi="仿宋_GB2312" w:cs="仿宋_GB2312" w:eastAsia="仿宋_GB2312"/>
        </w:rPr>
        <w:t>委托，拟对</w:t>
      </w:r>
      <w:r>
        <w:rPr>
          <w:rFonts w:ascii="仿宋_GB2312" w:hAnsi="仿宋_GB2312" w:cs="仿宋_GB2312" w:eastAsia="仿宋_GB2312"/>
        </w:rPr>
        <w:t>陕西省药品安全监管综合业务系统2026年运维服务项目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LZBB2026-366</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陕西省药品安全监管综合业务系统2026年运维服务项目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陕西省药品安全监管综合业务系统2026年运维服务项目，1项，具体详见采购文件第3章。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采购包1（陕西省药品安全监管综合业务系统2026年运维服务项目）：属于专门面向中小企业采购。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专门面向中小企业采购：本项目专门面向中小企业采购，仅限符合《政府采购促进中小企业发展管理办法》（财库〔2020〕46号）条件的中小企业参与，供应商应填写中小企业声明函并对真实性负责。（残疾人福利性单位及监狱企业视同为小型、微型企业），供应商需在项目电子化交易系统中按要求上传相应承诺函并进行电子签章</w:t>
      </w:r>
    </w:p>
    <w:p>
      <w:pPr>
        <w:pStyle w:val="null3"/>
      </w:pPr>
      <w:r>
        <w:rPr>
          <w:rFonts w:ascii="仿宋_GB2312" w:hAnsi="仿宋_GB2312" w:cs="仿宋_GB2312" w:eastAsia="仿宋_GB2312"/>
        </w:rPr>
        <w:t>3、供应商信用状况：供应商不得为“信用中国”网站（www.creditchina.gov.cn）中列入重大税收违法失信主体和“中国执行信息公开网”（https://zxgk.court.gov.cn/）失信被执行人的供应商，不得为中国政府采购网（www.ccgp.gov.cn）政府采购严重违法失信行为记录名单中被财政部门禁止参加政府采购活动的供应商。以协商当日网站查询结果为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陕西省药品监督管理局机关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西安市高新六路56号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高佳敏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029-62288184</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王万里、王飞、张波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029-88228899-626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采购包1：1,248,600.00元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采购包1：1,248,600.00元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和发展改革委员会办公厅颁发的《关于招标代理服务收费有关问题的通知》（发改办价格[2003]857号）的服务类标准计取。2、成交供应商在领取成交通知书之前，须向代理机构支付招标代理服务费。3、招标代理服务费以转账或现金形式缴纳至以下账户： 开户名称：龙寰项目管理咨询有限公司，开户银行：平安银行西安高新路支行，账 号：30201278018474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陕西省药品监督管理局机关</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陕西省药品监督管理局机关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按照采购文件、响应文件以及合同要求。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陕西省药品安全监管综合业务系统2026年运维服务项目，1项。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1,248,600.00</w:t>
      </w:r>
    </w:p>
    <w:p>
      <w:pPr>
        <w:pStyle w:val="null3"/>
      </w:pPr>
      <w:r>
        <w:rPr>
          <w:rFonts w:ascii="仿宋_GB2312" w:hAnsi="仿宋_GB2312" w:cs="仿宋_GB2312" w:eastAsia="仿宋_GB2312"/>
        </w:rPr>
        <w:t>采购包最高限价（元）: 1,248,600.00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陕西省药品安全监管综合业务系统2026年运维服务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1,248,600.00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标的名称：陕西省药品安全监管综合业务系统2026年运维服务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一、项目概况</w:t>
            </w:r>
          </w:p>
          <w:p>
            <w:pPr>
              <w:pStyle w:val="null3"/>
              <w:numPr>
                <w:ilvl w:val="0"/>
                <w:numId w:val="1"/>
              </w:numPr>
              <w:jc w:val="both"/>
            </w:pPr>
            <w:r>
              <w:rPr>
                <w:rFonts w:ascii="仿宋_GB2312" w:hAnsi="仿宋_GB2312" w:cs="仿宋_GB2312" w:eastAsia="仿宋_GB2312"/>
                <w:sz w:val="20"/>
              </w:rPr>
              <w:t>项目名称：</w:t>
            </w:r>
            <w:r>
              <w:rPr>
                <w:rFonts w:ascii="仿宋_GB2312" w:hAnsi="仿宋_GB2312" w:cs="仿宋_GB2312" w:eastAsia="仿宋_GB2312"/>
                <w:sz w:val="20"/>
              </w:rPr>
              <w:t>陕西省药品安全监管综合业务系统</w:t>
            </w:r>
            <w:r>
              <w:rPr>
                <w:rFonts w:ascii="仿宋_GB2312" w:hAnsi="仿宋_GB2312" w:cs="仿宋_GB2312" w:eastAsia="仿宋_GB2312"/>
                <w:sz w:val="20"/>
              </w:rPr>
              <w:t>2026年运维服务项目</w:t>
            </w:r>
          </w:p>
          <w:p>
            <w:pPr>
              <w:pStyle w:val="null3"/>
              <w:numPr>
                <w:ilvl w:val="0"/>
                <w:numId w:val="1"/>
              </w:numPr>
              <w:jc w:val="both"/>
            </w:pPr>
            <w:r>
              <w:rPr>
                <w:rFonts w:ascii="仿宋_GB2312" w:hAnsi="仿宋_GB2312" w:cs="仿宋_GB2312" w:eastAsia="仿宋_GB2312"/>
                <w:sz w:val="20"/>
              </w:rPr>
              <w:t>服务对象：陕西省药品监督管理局</w:t>
            </w:r>
          </w:p>
          <w:p>
            <w:pPr>
              <w:pStyle w:val="null3"/>
              <w:numPr>
                <w:ilvl w:val="0"/>
                <w:numId w:val="1"/>
              </w:numPr>
              <w:jc w:val="both"/>
            </w:pPr>
            <w:r>
              <w:rPr>
                <w:rFonts w:ascii="仿宋_GB2312" w:hAnsi="仿宋_GB2312" w:cs="仿宋_GB2312" w:eastAsia="仿宋_GB2312"/>
                <w:sz w:val="20"/>
              </w:rPr>
              <w:t>系统概况：</w:t>
            </w:r>
            <w:r>
              <w:rPr>
                <w:rFonts w:ascii="仿宋_GB2312" w:hAnsi="仿宋_GB2312" w:cs="仿宋_GB2312" w:eastAsia="仿宋_GB2312"/>
                <w:sz w:val="20"/>
              </w:rPr>
              <w:t>2019年启动建设，采用微服务分布式架构，部署于陕西省信息化中心政务云，含29台虚拟化资源；构建监管端、企业申报端、公众查询端三位一体体系，覆盖许可审批、日常监管、稽查执法等 16个核心功能模块，是全省药品安全监管核心平台。</w:t>
            </w:r>
          </w:p>
          <w:p>
            <w:pPr>
              <w:pStyle w:val="null3"/>
              <w:numPr>
                <w:ilvl w:val="0"/>
                <w:numId w:val="1"/>
              </w:numPr>
              <w:jc w:val="both"/>
            </w:pPr>
            <w:r>
              <w:rPr>
                <w:rFonts w:ascii="仿宋_GB2312" w:hAnsi="仿宋_GB2312" w:cs="仿宋_GB2312" w:eastAsia="仿宋_GB2312"/>
                <w:sz w:val="20"/>
              </w:rPr>
              <w:t>服务期限：</w:t>
            </w:r>
            <w:r>
              <w:rPr>
                <w:rFonts w:ascii="仿宋_GB2312" w:hAnsi="仿宋_GB2312" w:cs="仿宋_GB2312" w:eastAsia="仿宋_GB2312"/>
                <w:sz w:val="20"/>
              </w:rPr>
              <w:t>12个月</w:t>
            </w:r>
            <w:r>
              <w:rPr>
                <w:rFonts w:ascii="仿宋_GB2312" w:hAnsi="仿宋_GB2312" w:cs="仿宋_GB2312" w:eastAsia="仿宋_GB2312"/>
                <w:sz w:val="20"/>
              </w:rPr>
              <w:t>。</w:t>
            </w:r>
          </w:p>
          <w:p>
            <w:pPr>
              <w:pStyle w:val="null3"/>
              <w:numPr>
                <w:ilvl w:val="0"/>
                <w:numId w:val="1"/>
              </w:numPr>
              <w:jc w:val="both"/>
            </w:pPr>
            <w:r>
              <w:rPr>
                <w:rFonts w:ascii="仿宋_GB2312" w:hAnsi="仿宋_GB2312" w:cs="仿宋_GB2312" w:eastAsia="仿宋_GB2312"/>
                <w:sz w:val="20"/>
              </w:rPr>
              <w:t>服务地点：陕西省药品监督管理局指定地点。</w:t>
            </w:r>
          </w:p>
          <w:p>
            <w:pPr>
              <w:pStyle w:val="null3"/>
              <w:ind w:firstLine="402"/>
              <w:jc w:val="both"/>
            </w:pPr>
            <w:r>
              <w:rPr>
                <w:rFonts w:ascii="仿宋_GB2312" w:hAnsi="仿宋_GB2312" w:cs="仿宋_GB2312" w:eastAsia="仿宋_GB2312"/>
                <w:sz w:val="20"/>
                <w:b/>
              </w:rPr>
              <w:t>二、服务范围</w:t>
            </w:r>
          </w:p>
          <w:p>
            <w:pPr>
              <w:pStyle w:val="null3"/>
              <w:ind w:firstLine="400"/>
              <w:jc w:val="both"/>
            </w:pPr>
            <w:r>
              <w:rPr>
                <w:rFonts w:ascii="仿宋_GB2312" w:hAnsi="仿宋_GB2312" w:cs="仿宋_GB2312" w:eastAsia="仿宋_GB2312"/>
                <w:sz w:val="20"/>
              </w:rPr>
              <w:t>（一）系统功能运维</w:t>
            </w:r>
          </w:p>
          <w:p>
            <w:pPr>
              <w:pStyle w:val="null3"/>
              <w:ind w:firstLine="400"/>
              <w:jc w:val="both"/>
            </w:pPr>
            <w:r>
              <w:rPr>
                <w:rFonts w:ascii="仿宋_GB2312" w:hAnsi="仿宋_GB2312" w:cs="仿宋_GB2312" w:eastAsia="仿宋_GB2312"/>
                <w:sz w:val="20"/>
              </w:rPr>
              <w:t>覆盖行政审批、电子证照、技术审评、监督检查、监管档案、企业服务、公众服务、信用评级、监督抽检、稽查执法、通知公告、政企互动、移动监管</w:t>
            </w:r>
            <w:r>
              <w:rPr>
                <w:rFonts w:ascii="仿宋_GB2312" w:hAnsi="仿宋_GB2312" w:cs="仿宋_GB2312" w:eastAsia="仿宋_GB2312"/>
                <w:sz w:val="20"/>
              </w:rPr>
              <w:t>APP、陕药通小程序、数据共享交换、应用支撑平台1</w:t>
            </w:r>
            <w:r>
              <w:rPr>
                <w:rFonts w:ascii="仿宋_GB2312" w:hAnsi="仿宋_GB2312" w:cs="仿宋_GB2312" w:eastAsia="仿宋_GB2312"/>
                <w:sz w:val="20"/>
              </w:rPr>
              <w:t>6</w:t>
            </w:r>
            <w:r>
              <w:rPr>
                <w:rFonts w:ascii="仿宋_GB2312" w:hAnsi="仿宋_GB2312" w:cs="仿宋_GB2312" w:eastAsia="仿宋_GB2312"/>
                <w:sz w:val="20"/>
              </w:rPr>
              <w:t>大核心模块全功能运维。</w:t>
            </w:r>
          </w:p>
          <w:p>
            <w:pPr>
              <w:pStyle w:val="null3"/>
              <w:ind w:firstLine="400"/>
              <w:jc w:val="both"/>
            </w:pPr>
            <w:r>
              <w:rPr>
                <w:rFonts w:ascii="仿宋_GB2312" w:hAnsi="仿宋_GB2312" w:cs="仿宋_GB2312" w:eastAsia="仿宋_GB2312"/>
                <w:sz w:val="20"/>
              </w:rPr>
              <w:t>（二）虚拟化资源运维</w:t>
            </w:r>
          </w:p>
          <w:p>
            <w:pPr>
              <w:pStyle w:val="null3"/>
              <w:ind w:firstLine="400"/>
              <w:jc w:val="both"/>
            </w:pPr>
            <w:r>
              <w:rPr>
                <w:rFonts w:ascii="仿宋_GB2312" w:hAnsi="仿宋_GB2312" w:cs="仿宋_GB2312" w:eastAsia="仿宋_GB2312"/>
                <w:sz w:val="20"/>
              </w:rPr>
              <w:t>负责政务云</w:t>
            </w:r>
            <w:r>
              <w:rPr>
                <w:rFonts w:ascii="仿宋_GB2312" w:hAnsi="仿宋_GB2312" w:cs="仿宋_GB2312" w:eastAsia="仿宋_GB2312"/>
                <w:sz w:val="20"/>
              </w:rPr>
              <w:t>29台虚拟化服务器（含主 / 从数据库、文件服务器、应用服务器）的日常监控、性能调优、安全加固、故障处置等运维工作。</w:t>
            </w:r>
          </w:p>
          <w:p>
            <w:pPr>
              <w:pStyle w:val="null3"/>
              <w:ind w:firstLine="402"/>
              <w:jc w:val="both"/>
            </w:pPr>
            <w:r>
              <w:rPr>
                <w:rFonts w:ascii="仿宋_GB2312" w:hAnsi="仿宋_GB2312" w:cs="仿宋_GB2312" w:eastAsia="仿宋_GB2312"/>
                <w:sz w:val="20"/>
                <w:b/>
              </w:rPr>
              <w:t>三、核心服务内容</w:t>
            </w:r>
          </w:p>
          <w:p>
            <w:pPr>
              <w:pStyle w:val="null3"/>
              <w:numPr>
                <w:ilvl w:val="0"/>
                <w:numId w:val="1"/>
              </w:numPr>
              <w:jc w:val="both"/>
            </w:pPr>
            <w:r>
              <w:rPr>
                <w:rFonts w:ascii="仿宋_GB2312" w:hAnsi="仿宋_GB2312" w:cs="仿宋_GB2312" w:eastAsia="仿宋_GB2312"/>
                <w:sz w:val="20"/>
              </w:rPr>
              <w:t>系统例行维护：功能</w:t>
            </w:r>
            <w:r>
              <w:rPr>
                <w:rFonts w:ascii="仿宋_GB2312" w:hAnsi="仿宋_GB2312" w:cs="仿宋_GB2312" w:eastAsia="仿宋_GB2312"/>
                <w:sz w:val="20"/>
              </w:rPr>
              <w:t>BUG 修复、数据同步与管理、双重数据备份（备份留存≥60天）、基础支撑协同。</w:t>
            </w:r>
          </w:p>
          <w:p>
            <w:pPr>
              <w:pStyle w:val="null3"/>
              <w:numPr>
                <w:ilvl w:val="0"/>
                <w:numId w:val="1"/>
              </w:numPr>
              <w:jc w:val="both"/>
            </w:pPr>
            <w:r>
              <w:rPr>
                <w:rFonts w:ascii="仿宋_GB2312" w:hAnsi="仿宋_GB2312" w:cs="仿宋_GB2312" w:eastAsia="仿宋_GB2312"/>
                <w:sz w:val="20"/>
              </w:rPr>
              <w:t>系统巡检服务：</w:t>
            </w:r>
            <w:r>
              <w:rPr>
                <w:rFonts w:ascii="仿宋_GB2312" w:hAnsi="仿宋_GB2312" w:cs="仿宋_GB2312" w:eastAsia="仿宋_GB2312"/>
                <w:sz w:val="20"/>
              </w:rPr>
              <w:t>7×24小时自动化监控+人工巡检，按月提交巡检报告，问题闭环处置。</w:t>
            </w:r>
          </w:p>
          <w:p>
            <w:pPr>
              <w:pStyle w:val="null3"/>
              <w:numPr>
                <w:ilvl w:val="0"/>
                <w:numId w:val="1"/>
              </w:numPr>
              <w:jc w:val="both"/>
            </w:pPr>
            <w:r>
              <w:rPr>
                <w:rFonts w:ascii="仿宋_GB2312" w:hAnsi="仿宋_GB2312" w:cs="仿宋_GB2312" w:eastAsia="仿宋_GB2312"/>
                <w:sz w:val="20"/>
              </w:rPr>
              <w:t>故障处理服务：分级响应故障，重大事件现场保障，年度重大故障</w:t>
            </w:r>
            <w:r>
              <w:rPr>
                <w:rFonts w:ascii="仿宋_GB2312" w:hAnsi="仿宋_GB2312" w:cs="仿宋_GB2312" w:eastAsia="仿宋_GB2312"/>
                <w:sz w:val="20"/>
              </w:rPr>
              <w:t>≤2次，核心业务可用率≥99.9%。</w:t>
            </w:r>
          </w:p>
          <w:p>
            <w:pPr>
              <w:pStyle w:val="null3"/>
              <w:numPr>
                <w:ilvl w:val="0"/>
                <w:numId w:val="1"/>
              </w:numPr>
              <w:jc w:val="both"/>
            </w:pPr>
            <w:r>
              <w:rPr>
                <w:rFonts w:ascii="仿宋_GB2312" w:hAnsi="仿宋_GB2312" w:cs="仿宋_GB2312" w:eastAsia="仿宋_GB2312"/>
                <w:sz w:val="20"/>
              </w:rPr>
              <w:t>技术培训服务：面向监管</w:t>
            </w:r>
            <w:r>
              <w:rPr>
                <w:rFonts w:ascii="仿宋_GB2312" w:hAnsi="仿宋_GB2312" w:cs="仿宋_GB2312" w:eastAsia="仿宋_GB2312"/>
                <w:sz w:val="20"/>
              </w:rPr>
              <w:t>/ 企业用户分层培训，配套操作手册，保障培训效果。</w:t>
            </w:r>
          </w:p>
          <w:p>
            <w:pPr>
              <w:pStyle w:val="null3"/>
              <w:numPr>
                <w:ilvl w:val="0"/>
                <w:numId w:val="1"/>
              </w:numPr>
              <w:jc w:val="both"/>
            </w:pPr>
            <w:r>
              <w:rPr>
                <w:rFonts w:ascii="仿宋_GB2312" w:hAnsi="仿宋_GB2312" w:cs="仿宋_GB2312" w:eastAsia="仿宋_GB2312"/>
                <w:sz w:val="20"/>
              </w:rPr>
              <w:t>系统优化改进：性能、业务、安全优化，高危漏洞</w:t>
            </w:r>
            <w:r>
              <w:rPr>
                <w:rFonts w:ascii="仿宋_GB2312" w:hAnsi="仿宋_GB2312" w:cs="仿宋_GB2312" w:eastAsia="仿宋_GB2312"/>
                <w:sz w:val="20"/>
              </w:rPr>
              <w:t>24小时内修复，中危漏洞72小时内修复。</w:t>
            </w:r>
          </w:p>
          <w:p>
            <w:pPr>
              <w:pStyle w:val="null3"/>
            </w:pPr>
            <w:r>
              <w:rPr>
                <w:rFonts w:ascii="仿宋_GB2312" w:hAnsi="仿宋_GB2312" w:cs="仿宋_GB2312" w:eastAsia="仿宋_GB2312"/>
                <w:sz w:val="20"/>
              </w:rPr>
              <w:t>驻场运维服务：</w:t>
            </w:r>
            <w:r>
              <w:rPr>
                <w:rFonts w:ascii="仿宋_GB2312" w:hAnsi="仿宋_GB2312" w:cs="仿宋_GB2312" w:eastAsia="仿宋_GB2312"/>
                <w:sz w:val="20"/>
              </w:rPr>
              <w:t>5×8小时现场驻场，配置 2 名资深运维人员，即时响应咨询与问题处理。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满足项目采购要求配备，具备专项小组。</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陕西省药品监督管理局指定地点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服务满半年后并开具合法有效增值税发票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服务期满（或合同续延终止）后并开具合法有效增值税发票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按照采购文件、响应文件以及合同要求。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因合同而发生的争议或纠纷，采购人与供应商双方应先协商解决，协商不成时可向采购人所在地的人民法院提请诉讼。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标的对应的中小企业划分标准所属行业为软件和信息技术服务业。软件和信息技术服务业的划型标准为：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2.本项目专门面向中小企业采购（残疾人福利性单位、监狱企业视同小型、微型企业）。 3.需要落实的政府采购政策：（1）《国务院办公厅关于建立政府强制采购节能产品制度的通知》（国办发〔2007〕51号）；（2）《财政部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4.供应商的报价明显低于其他通过符合性审查供应商报价的，由评标委员会按照《关于推动解决政府采购异常低价问题的通知》财库〔2026〕2号规定处理。 （1）政府采购评审中出现下列情形之一的，评审委员会应当启动异常低价投标（响应）审查程序：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5.本项目成交供应商须在成交结果公示后提供纸质响应文件三套交由采购代理机构备案，该文件须与线上电子响应文件完全一致。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①供应商需在项目电子化交易系统中按要求填写《响应函》完成承诺并进行电子签章。 ②税收缴纳凭证及社会保险缴纳的凭证：供应商在本项目响应文件递交截止时间前六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 ③财务状况：供应商提供2024年度或2025年度经审计的财务审计报告（事业法人可提供部门决算报告）；或提供供应商基本开户银行出具的资信证明；或提供专业担保机构出具的投标担保函，供应商需在项目电子化交易系统中按要求上传相应证明文件并进行电子签章 ④参加政府采购活动前3年内在经营活动中没有重大违法记录的书面声明，供应商需在项目电子化交易系统中按要求上传相应证明文件并进行电子签章 ⑤具有履行合同所必需的设备和专业技术能力书面声明函，供应商需在项目电子化交易系统中按要求上传相应证明文件并进行电子签章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专门面向中小企业采购</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中小企业参与，供应商应填写中小企业声明函并对真实性负责。（残疾人福利性单位及监狱企业视同为小型、微型企业），供应商需在项目电子化交易系统中按要求上传相应承诺函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重大税收违法失信主体和“中国执行信息公开网”（https://zxgk.court.gov.cn/）失信被执行人的供应商，不得为中国政府采购网（www.ccgp.gov.cn）政府采购严重违法失信行为记录名单中被财政部门禁止参加政府采购活动的供应商。以协商当日网站查询结果为准</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商务部分偏离表.docx 响应函 技术响应与偏离表.docx 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报价未超过采购文件中规定的预算金额或者最高限价</w:t>
            </w:r>
          </w:p>
        </w:tc>
        <w:tc>
          <w:tcPr>
            <w:tcW w:type="dxa" w:w="3322"/>
          </w:tcPr>
          <w:p>
            <w:pPr>
              <w:pStyle w:val="null3"/>
            </w:pPr>
            <w:r>
              <w:rPr>
                <w:rFonts w:ascii="仿宋_GB2312" w:hAnsi="仿宋_GB2312" w:cs="仿宋_GB2312" w:eastAsia="仿宋_GB2312"/>
              </w:rPr>
              <w:t>供应商响应报价未超过采购文件中规定的预算金额或者最高限价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符合供应商资格证明文的实质性要求</w:t>
            </w:r>
          </w:p>
        </w:tc>
        <w:tc>
          <w:tcPr>
            <w:tcW w:type="dxa" w:w="3322"/>
          </w:tcPr>
          <w:p>
            <w:pPr>
              <w:pStyle w:val="null3"/>
            </w:pPr>
            <w:r>
              <w:rPr>
                <w:rFonts w:ascii="仿宋_GB2312" w:hAnsi="仿宋_GB2312" w:cs="仿宋_GB2312" w:eastAsia="仿宋_GB2312"/>
              </w:rPr>
              <w:t>满足本单一来源采购文件中要求的“服务期限、服务地点、支付方式及约定”的实质性条款要求。</w:t>
            </w:r>
          </w:p>
        </w:tc>
        <w:tc>
          <w:tcPr>
            <w:tcW w:type="dxa" w:w="1661"/>
          </w:tcPr>
          <w:p>
            <w:pPr>
              <w:pStyle w:val="null3"/>
            </w:pPr>
            <w:r>
              <w:rPr>
                <w:rFonts w:ascii="仿宋_GB2312" w:hAnsi="仿宋_GB2312" w:cs="仿宋_GB2312" w:eastAsia="仿宋_GB2312"/>
              </w:rPr>
              <w:t>商务部分偏离表.docx 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供应商的报价明显低于其他通过符合性审查供应商报价的，由评标委员会按照《关于推动解决政府采购异常低价问题的通知》财库〔2026〕2号规定处理。 （1）政府采购评审中出现下列情形之一的，评审委员会应当启动异常低价投标（响应）审查程序：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w:t>
            </w:r>
          </w:p>
        </w:tc>
        <w:tc>
          <w:tcPr>
            <w:tcW w:type="dxa" w:w="1661"/>
          </w:tcPr>
          <w:p>
            <w:pPr>
              <w:pStyle w:val="null3"/>
            </w:pPr>
            <w:r>
              <w:rPr>
                <w:rFonts w:ascii="仿宋_GB2312" w:hAnsi="仿宋_GB2312" w:cs="仿宋_GB2312" w:eastAsia="仿宋_GB2312"/>
              </w:rPr>
              <w:t>响应文件封面 分项报价表.docx 供应商相关专利、专有技术情况说明.docx 标的清单 报价表 供应商资格证明文件.docx 商务部分偏离表.docx 响应函 技术响应与偏离表.docx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不属于法律、法规和供应商资格证明文规定的其他无效情形</w:t>
            </w:r>
          </w:p>
        </w:tc>
        <w:tc>
          <w:tcPr>
            <w:tcW w:type="dxa" w:w="1661"/>
          </w:tcPr>
          <w:p>
            <w:pPr>
              <w:pStyle w:val="null3"/>
            </w:pPr>
            <w:r>
              <w:rPr>
                <w:rFonts w:ascii="仿宋_GB2312" w:hAnsi="仿宋_GB2312" w:cs="仿宋_GB2312" w:eastAsia="仿宋_GB2312"/>
              </w:rPr>
              <w:t>供应商资格证明文件.docx 商务部分偏离表.docx 技术响应与偏离表.docx 服务方案.docx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有效期符合单一来源采购文件要求</w:t>
            </w:r>
          </w:p>
        </w:tc>
        <w:tc>
          <w:tcPr>
            <w:tcW w:type="dxa" w:w="1661"/>
          </w:tcPr>
          <w:p>
            <w:pPr>
              <w:pStyle w:val="null3"/>
            </w:pPr>
            <w:r>
              <w:rPr>
                <w:rFonts w:ascii="仿宋_GB2312" w:hAnsi="仿宋_GB2312" w:cs="仿宋_GB2312" w:eastAsia="仿宋_GB2312"/>
              </w:rPr>
              <w:t>供应商资格证明文件.docx 商务部分偏离表.docx 响应函 技术响应与偏离表.docx 服务方案.docx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法定代表授权委托书及被授权人身份证件（法定代表人直接投标，只须提供身份证）</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详见附件：供应商相关专利、专有技术情况说明.docx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