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版本号：ZCZX2026-DY-03420260423001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超星智慧课程建设服务项目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ZCZX2026-DY-034</w:t>
      </w:r>
      <w:r>
        <w:br/>
      </w:r>
      <w:r>
        <w:br/>
      </w:r>
      <w:r>
        <w:br/>
      </w:r>
    </w:p>
    <w:p>
      <w:pPr>
        <w:pStyle w:val="null3"/>
        <w:jc w:val="center"/>
        <w:outlineLvl w:val="5"/>
      </w:pPr>
      <w:r>
        <w:rPr>
          <w:rFonts w:ascii="仿宋_GB2312" w:hAnsi="仿宋_GB2312" w:cs="仿宋_GB2312" w:eastAsia="仿宋_GB2312"/>
          <w:sz w:val="15"/>
          <w:b/>
        </w:rPr>
        <w:t>西安建筑科技大学</w:t>
      </w:r>
    </w:p>
    <w:p>
      <w:pPr>
        <w:pStyle w:val="null3"/>
        <w:jc w:val="center"/>
        <w:outlineLvl w:val="5"/>
      </w:pPr>
      <w:r>
        <w:rPr>
          <w:rFonts w:ascii="仿宋_GB2312" w:hAnsi="仿宋_GB2312" w:cs="仿宋_GB2312" w:eastAsia="仿宋_GB2312"/>
          <w:sz w:val="15"/>
          <w:b/>
        </w:rPr>
        <w:t>陕西众诚致信管理咨询有限公司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超星智慧课程建设服务项目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ZCZX2026-DY-034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超星智慧课程建设服务项目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基于学校现有超星教学平台，对已在超星教学平台建设开设的23门课程进行AI智能化升级服务，建设智慧课程。</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采购包1（超星智慧课程建设服务项目）：属于专门面向中小企业采购。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协商授权：供应商应授权合法的人员参加协商全过程，其中法定代表人（或负责人）直接参加协商的，须出具法定代表人（或负责人）身份证，并与营业执照上信息一致。法定代表人（或负责人）授权代表参加协商的，提供法定代表人委托授权书及授权代表身份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基于学校现有超星教学平台，对已在超星教学平台建设开设的23门课程进行AI智能化升级服务，建设智慧课程。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超星智慧课程建设服务项目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标的名称：超星智慧课程建设服务项目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0"/>
              </w:rPr>
              <w:t>一、服务内容</w:t>
            </w:r>
          </w:p>
          <w:p>
            <w:pPr>
              <w:pStyle w:val="null3"/>
              <w:ind w:firstLine="560"/>
            </w:pPr>
            <w:r>
              <w:rPr>
                <w:rFonts w:ascii="仿宋_GB2312" w:hAnsi="仿宋_GB2312" w:cs="仿宋_GB2312" w:eastAsia="仿宋_GB2312"/>
                <w:sz w:val="20"/>
              </w:rPr>
              <w:t>基于学校现有超星教学平台，对已在超星教学平台建设开设的</w:t>
            </w:r>
            <w:r>
              <w:rPr>
                <w:rFonts w:ascii="仿宋_GB2312" w:hAnsi="仿宋_GB2312" w:cs="仿宋_GB2312" w:eastAsia="仿宋_GB2312"/>
                <w:sz w:val="20"/>
              </w:rPr>
              <w:t>23</w:t>
            </w:r>
            <w:r>
              <w:rPr>
                <w:rFonts w:ascii="仿宋_GB2312" w:hAnsi="仿宋_GB2312" w:cs="仿宋_GB2312" w:eastAsia="仿宋_GB2312"/>
                <w:sz w:val="20"/>
              </w:rPr>
              <w:t>门课程进行</w:t>
            </w:r>
            <w:r>
              <w:rPr>
                <w:rFonts w:ascii="仿宋_GB2312" w:hAnsi="仿宋_GB2312" w:cs="仿宋_GB2312" w:eastAsia="仿宋_GB2312"/>
                <w:sz w:val="20"/>
              </w:rPr>
              <w:t>AI</w:t>
            </w:r>
            <w:r>
              <w:rPr>
                <w:rFonts w:ascii="仿宋_GB2312" w:hAnsi="仿宋_GB2312" w:cs="仿宋_GB2312" w:eastAsia="仿宋_GB2312"/>
                <w:sz w:val="20"/>
              </w:rPr>
              <w:t>智能化升级服务，建设智慧课程。</w:t>
            </w:r>
          </w:p>
          <w:p>
            <w:pPr>
              <w:pStyle w:val="null3"/>
              <w:ind w:firstLine="560"/>
            </w:pPr>
            <w:r>
              <w:rPr>
                <w:rFonts w:ascii="仿宋_GB2312" w:hAnsi="仿宋_GB2312" w:cs="仿宋_GB2312" w:eastAsia="仿宋_GB2312"/>
                <w:sz w:val="20"/>
              </w:rPr>
              <w:t>二、服务要求及标准</w:t>
            </w:r>
          </w:p>
          <w:p>
            <w:pPr>
              <w:pStyle w:val="null3"/>
              <w:ind w:firstLine="56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）总体要求：</w:t>
            </w:r>
          </w:p>
          <w:p>
            <w:pPr>
              <w:pStyle w:val="null3"/>
              <w:ind w:firstLine="560"/>
            </w:pPr>
            <w:r>
              <w:rPr>
                <w:rFonts w:ascii="仿宋_GB2312" w:hAnsi="仿宋_GB2312" w:cs="仿宋_GB2312" w:eastAsia="仿宋_GB2312"/>
                <w:sz w:val="20"/>
              </w:rPr>
              <w:t>1</w:t>
            </w:r>
            <w:r>
              <w:rPr>
                <w:rFonts w:ascii="仿宋_GB2312" w:hAnsi="仿宋_GB2312" w:cs="仿宋_GB2312" w:eastAsia="仿宋_GB2312"/>
                <w:sz w:val="20"/>
              </w:rPr>
              <w:t>）课程资源智能化改造。基于已建设</w:t>
            </w:r>
            <w:r>
              <w:rPr>
                <w:rFonts w:ascii="仿宋_GB2312" w:hAnsi="仿宋_GB2312" w:cs="仿宋_GB2312" w:eastAsia="仿宋_GB2312"/>
                <w:sz w:val="20"/>
              </w:rPr>
              <w:t xml:space="preserve"> MOOC </w:t>
            </w:r>
            <w:r>
              <w:rPr>
                <w:rFonts w:ascii="仿宋_GB2312" w:hAnsi="仿宋_GB2312" w:cs="仿宋_GB2312" w:eastAsia="仿宋_GB2312"/>
                <w:sz w:val="20"/>
              </w:rPr>
              <w:t>教学资源，构建课程完整知识图谱，优化在线教学资源，进行知识图谱与教学资源关联。</w:t>
            </w:r>
          </w:p>
          <w:p>
            <w:pPr>
              <w:pStyle w:val="null3"/>
              <w:ind w:firstLine="560"/>
            </w:pPr>
            <w:r>
              <w:rPr>
                <w:rFonts w:ascii="仿宋_GB2312" w:hAnsi="仿宋_GB2312" w:cs="仿宋_GB2312" w:eastAsia="仿宋_GB2312"/>
                <w:sz w:val="20"/>
              </w:rPr>
              <w:t>2</w:t>
            </w:r>
            <w:r>
              <w:rPr>
                <w:rFonts w:ascii="仿宋_GB2312" w:hAnsi="仿宋_GB2312" w:cs="仿宋_GB2312" w:eastAsia="仿宋_GB2312"/>
                <w:sz w:val="20"/>
              </w:rPr>
              <w:t>）智慧教学平台升级。升级部署个性化</w:t>
            </w:r>
            <w:r>
              <w:rPr>
                <w:rFonts w:ascii="仿宋_GB2312" w:hAnsi="仿宋_GB2312" w:cs="仿宋_GB2312" w:eastAsia="仿宋_GB2312"/>
                <w:sz w:val="20"/>
              </w:rPr>
              <w:t xml:space="preserve"> AI </w:t>
            </w:r>
            <w:r>
              <w:rPr>
                <w:rFonts w:ascii="仿宋_GB2312" w:hAnsi="仿宋_GB2312" w:cs="仿宋_GB2312" w:eastAsia="仿宋_GB2312"/>
                <w:sz w:val="20"/>
              </w:rPr>
              <w:t>助教、助学系统，提供全时段多场景教</w:t>
            </w:r>
            <w:r>
              <w:rPr>
                <w:rFonts w:ascii="仿宋_GB2312" w:hAnsi="仿宋_GB2312" w:cs="仿宋_GB2312" w:eastAsia="仿宋_GB2312"/>
                <w:sz w:val="20"/>
              </w:rPr>
              <w:t>-</w:t>
            </w:r>
            <w:r>
              <w:rPr>
                <w:rFonts w:ascii="仿宋_GB2312" w:hAnsi="仿宋_GB2312" w:cs="仿宋_GB2312" w:eastAsia="仿宋_GB2312"/>
                <w:sz w:val="20"/>
              </w:rPr>
              <w:t>学服务。</w:t>
            </w:r>
          </w:p>
          <w:p>
            <w:pPr>
              <w:pStyle w:val="null3"/>
              <w:ind w:firstLine="560"/>
            </w:pPr>
            <w:r>
              <w:rPr>
                <w:rFonts w:ascii="仿宋_GB2312" w:hAnsi="仿宋_GB2312" w:cs="仿宋_GB2312" w:eastAsia="仿宋_GB2312"/>
                <w:sz w:val="20"/>
              </w:rPr>
              <w:t>3</w:t>
            </w:r>
            <w:r>
              <w:rPr>
                <w:rFonts w:ascii="仿宋_GB2312" w:hAnsi="仿宋_GB2312" w:cs="仿宋_GB2312" w:eastAsia="仿宋_GB2312"/>
                <w:sz w:val="20"/>
              </w:rPr>
              <w:t>）智慧课程平台运行技术支持。开展平台操作培训、课程运行学情分析、平台数据维护等、</w:t>
            </w:r>
            <w:r>
              <w:rPr>
                <w:rFonts w:ascii="仿宋_GB2312" w:hAnsi="仿宋_GB2312" w:cs="仿宋_GB2312" w:eastAsia="仿宋_GB2312"/>
                <w:sz w:val="20"/>
              </w:rPr>
              <w:t xml:space="preserve">7*24 </w:t>
            </w:r>
            <w:r>
              <w:rPr>
                <w:rFonts w:ascii="仿宋_GB2312" w:hAnsi="仿宋_GB2312" w:cs="仿宋_GB2312" w:eastAsia="仿宋_GB2312"/>
                <w:sz w:val="20"/>
              </w:rPr>
              <w:t>小时教师和学生使用问题答疑。</w:t>
            </w:r>
          </w:p>
          <w:p>
            <w:pPr>
              <w:pStyle w:val="null3"/>
              <w:ind w:firstLine="56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）服务标准：</w:t>
            </w:r>
          </w:p>
          <w:tbl>
            <w:tblPr>
              <w:tblBorders>
                <w:top w:val="none" w:color="000000" w:sz="4"/>
                <w:left w:val="none" w:color="000000" w:sz="4"/>
                <w:bottom w:val="none" w:color="000000" w:sz="4"/>
                <w:right w:val="none" w:color="000000" w:sz="4"/>
                <w:insideH w:val="none"/>
                <w:insideV w:val="none"/>
              </w:tblBorders>
            </w:tblPr>
            <w:tblGrid>
              <w:gridCol w:w="128"/>
              <w:gridCol w:w="247"/>
              <w:gridCol w:w="2172"/>
            </w:tblGrid>
            <w:tr>
              <w:tc>
                <w:tcPr>
                  <w:tcW w:type="dxa" w:w="128"/>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spacing w:before="75"/>
                    <w:ind w:left="90" w:right="75"/>
                    <w:jc w:val="center"/>
                  </w:pPr>
                  <w:r>
                    <w:rPr>
                      <w:rFonts w:ascii="仿宋_GB2312" w:hAnsi="仿宋_GB2312" w:cs="仿宋_GB2312" w:eastAsia="仿宋_GB2312"/>
                      <w:sz w:val="20"/>
                    </w:rPr>
                    <w:t>序号</w:t>
                  </w:r>
                </w:p>
              </w:tc>
              <w:tc>
                <w:tcPr>
                  <w:tcW w:type="dxa" w:w="24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right="15"/>
                    <w:jc w:val="center"/>
                  </w:pPr>
                  <w:r>
                    <w:rPr>
                      <w:rFonts w:ascii="仿宋_GB2312" w:hAnsi="仿宋_GB2312" w:cs="仿宋_GB2312" w:eastAsia="仿宋_GB2312"/>
                      <w:sz w:val="20"/>
                    </w:rPr>
                    <w:t>模块</w:t>
                  </w:r>
                </w:p>
              </w:tc>
              <w:tc>
                <w:tcPr>
                  <w:tcW w:type="dxa" w:w="217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60" w:right="3060"/>
                    <w:jc w:val="center"/>
                  </w:pPr>
                  <w:r>
                    <w:rPr>
                      <w:rFonts w:ascii="仿宋_GB2312" w:hAnsi="仿宋_GB2312" w:cs="仿宋_GB2312" w:eastAsia="仿宋_GB2312"/>
                      <w:sz w:val="20"/>
                    </w:rPr>
                    <w:t>标准</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1</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培训</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5"/>
                  </w:pPr>
                  <w:r>
                    <w:rPr>
                      <w:rFonts w:ascii="仿宋_GB2312" w:hAnsi="仿宋_GB2312" w:cs="仿宋_GB2312" w:eastAsia="仿宋_GB2312"/>
                      <w:sz w:val="20"/>
                    </w:rPr>
                    <w:t xml:space="preserve">提供 </w:t>
                  </w:r>
                  <w:r>
                    <w:rPr>
                      <w:rFonts w:ascii="仿宋_GB2312" w:hAnsi="仿宋_GB2312" w:cs="仿宋_GB2312" w:eastAsia="仿宋_GB2312"/>
                      <w:sz w:val="20"/>
                    </w:rPr>
                    <w:t xml:space="preserve">AI </w:t>
                  </w:r>
                  <w:r>
                    <w:rPr>
                      <w:rFonts w:ascii="仿宋_GB2312" w:hAnsi="仿宋_GB2312" w:cs="仿宋_GB2312" w:eastAsia="仿宋_GB2312"/>
                      <w:sz w:val="20"/>
                    </w:rPr>
                    <w:t>赋能教学设计与实施、</w:t>
                  </w:r>
                  <w:r>
                    <w:rPr>
                      <w:rFonts w:ascii="仿宋_GB2312" w:hAnsi="仿宋_GB2312" w:cs="仿宋_GB2312" w:eastAsia="仿宋_GB2312"/>
                      <w:sz w:val="20"/>
                    </w:rPr>
                    <w:t xml:space="preserve">AI </w:t>
                  </w:r>
                  <w:r>
                    <w:rPr>
                      <w:rFonts w:ascii="仿宋_GB2312" w:hAnsi="仿宋_GB2312" w:cs="仿宋_GB2312" w:eastAsia="仿宋_GB2312"/>
                      <w:sz w:val="20"/>
                    </w:rPr>
                    <w:t>应用与创新相关培训，使教师</w:t>
                  </w:r>
                  <w:r>
                    <w:rPr>
                      <w:rFonts w:ascii="仿宋_GB2312" w:hAnsi="仿宋_GB2312" w:cs="仿宋_GB2312" w:eastAsia="仿宋_GB2312"/>
                      <w:sz w:val="20"/>
                    </w:rPr>
                    <w:t>理解智慧课程建设与运行的原则、方式，为配合特聘专家针对课</w:t>
                  </w:r>
                  <w:r>
                    <w:rPr>
                      <w:rFonts w:ascii="仿宋_GB2312" w:hAnsi="仿宋_GB2312" w:cs="仿宋_GB2312" w:eastAsia="仿宋_GB2312"/>
                      <w:sz w:val="20"/>
                    </w:rPr>
                    <w:t>程定向开展智慧课程设计做准备。</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80"/>
                    <w:ind w:left="15"/>
                    <w:jc w:val="center"/>
                  </w:pPr>
                  <w:r>
                    <w:rPr>
                      <w:rFonts w:ascii="仿宋_GB2312" w:hAnsi="仿宋_GB2312" w:cs="仿宋_GB2312" w:eastAsia="仿宋_GB2312"/>
                      <w:sz w:val="20"/>
                    </w:rPr>
                    <w:t>2</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65"/>
                    <w:ind w:left="30" w:right="30"/>
                    <w:jc w:val="center"/>
                  </w:pPr>
                  <w:r>
                    <w:rPr>
                      <w:rFonts w:ascii="仿宋_GB2312" w:hAnsi="仿宋_GB2312" w:cs="仿宋_GB2312" w:eastAsia="仿宋_GB2312"/>
                      <w:sz w:val="20"/>
                    </w:rPr>
                    <w:t>课程目标优化</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20"/>
                  </w:pPr>
                  <w:r>
                    <w:rPr>
                      <w:rFonts w:ascii="仿宋_GB2312" w:hAnsi="仿宋_GB2312" w:cs="仿宋_GB2312" w:eastAsia="仿宋_GB2312"/>
                      <w:sz w:val="20"/>
                    </w:rPr>
                    <w:t>依据产业行业人才需求与专业人才培养目标，形成高阶、准确、</w:t>
                  </w:r>
                  <w:r>
                    <w:rPr>
                      <w:rFonts w:ascii="仿宋_GB2312" w:hAnsi="仿宋_GB2312" w:cs="仿宋_GB2312" w:eastAsia="仿宋_GB2312"/>
                      <w:sz w:val="20"/>
                    </w:rPr>
                    <w:t>具体、可衡量的课程目标。</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80"/>
                    <w:ind w:left="15"/>
                    <w:jc w:val="center"/>
                  </w:pPr>
                  <w:r>
                    <w:rPr>
                      <w:rFonts w:ascii="仿宋_GB2312" w:hAnsi="仿宋_GB2312" w:cs="仿宋_GB2312" w:eastAsia="仿宋_GB2312"/>
                      <w:sz w:val="20"/>
                    </w:rPr>
                    <w:t>3</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65"/>
                    <w:ind w:left="30" w:right="30"/>
                    <w:jc w:val="center"/>
                  </w:pPr>
                  <w:r>
                    <w:rPr>
                      <w:rFonts w:ascii="仿宋_GB2312" w:hAnsi="仿宋_GB2312" w:cs="仿宋_GB2312" w:eastAsia="仿宋_GB2312"/>
                      <w:sz w:val="20"/>
                    </w:rPr>
                    <w:t>课程内容重构</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5"/>
                  </w:pPr>
                  <w:r>
                    <w:rPr>
                      <w:rFonts w:ascii="仿宋_GB2312" w:hAnsi="仿宋_GB2312" w:cs="仿宋_GB2312" w:eastAsia="仿宋_GB2312"/>
                      <w:sz w:val="20"/>
                    </w:rPr>
                    <w:t>根据课程目标和学科特点，基于课程现有资源情况，优化课程内</w:t>
                  </w:r>
                  <w:r>
                    <w:rPr>
                      <w:rFonts w:ascii="仿宋_GB2312" w:hAnsi="仿宋_GB2312" w:cs="仿宋_GB2312" w:eastAsia="仿宋_GB2312"/>
                      <w:sz w:val="20"/>
                    </w:rPr>
                    <w:t>容结构，形成系统化、模块化、项目化的课程内容。</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4</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课程教案样例设计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 xml:space="preserve">根据课程教学团队需求选取 </w:t>
                  </w:r>
                  <w:r>
                    <w:rPr>
                      <w:rFonts w:ascii="仿宋_GB2312" w:hAnsi="仿宋_GB2312" w:cs="仿宋_GB2312" w:eastAsia="仿宋_GB2312"/>
                      <w:sz w:val="20"/>
                    </w:rPr>
                    <w:t xml:space="preserve">1 </w:t>
                  </w:r>
                  <w:r>
                    <w:rPr>
                      <w:rFonts w:ascii="仿宋_GB2312" w:hAnsi="仿宋_GB2312" w:cs="仿宋_GB2312" w:eastAsia="仿宋_GB2312"/>
                      <w:sz w:val="20"/>
                    </w:rPr>
                    <w:t>课时教学内容，进行教案样例设</w:t>
                  </w:r>
                  <w:r>
                    <w:rPr>
                      <w:rFonts w:ascii="仿宋_GB2312" w:hAnsi="仿宋_GB2312" w:cs="仿宋_GB2312" w:eastAsia="仿宋_GB2312"/>
                      <w:sz w:val="20"/>
                    </w:rPr>
                    <w:t>计，包含教学目标、教学内容、教学方法、教学环节、时间分配</w:t>
                  </w:r>
                  <w:r>
                    <w:rPr>
                      <w:rFonts w:ascii="仿宋_GB2312" w:hAnsi="仿宋_GB2312" w:cs="仿宋_GB2312" w:eastAsia="仿宋_GB2312"/>
                      <w:sz w:val="20"/>
                    </w:rPr>
                    <w:t>等，支持教师高效开展教学活动。</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5</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65"/>
                    <w:ind w:right="30"/>
                    <w:jc w:val="center"/>
                  </w:pPr>
                  <w:r>
                    <w:rPr>
                      <w:rFonts w:ascii="仿宋_GB2312" w:hAnsi="仿宋_GB2312" w:cs="仿宋_GB2312" w:eastAsia="仿宋_GB2312"/>
                      <w:sz w:val="20"/>
                    </w:rPr>
                    <w:t>课程任务设计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20"/>
                  </w:pPr>
                  <w:r>
                    <w:rPr>
                      <w:rFonts w:ascii="仿宋_GB2312" w:hAnsi="仿宋_GB2312" w:cs="仿宋_GB2312" w:eastAsia="仿宋_GB2312"/>
                      <w:sz w:val="20"/>
                    </w:rPr>
                    <w:t>根据教学团队需求，以任务目标为导向，协助老师将资源学习、学习活动、考核评价有机整合，基于任务引擎创设学生为中心、高阶能力培养为导向的综合任务，实现课程活动流程重组和结构再造，促进深度学习发生，实现高阶目标达成。</w:t>
                  </w:r>
                </w:p>
              </w:tc>
            </w:tr>
            <w:tr>
              <w:tc>
                <w:tcPr>
                  <w:tcW w:type="dxa" w:w="12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6</w:t>
                  </w:r>
                </w:p>
              </w:tc>
              <w:tc>
                <w:tcPr>
                  <w:tcW w:type="dxa" w:w="247"/>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知识结构设计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ind w:left="30" w:right="15"/>
                  </w:pPr>
                  <w:r>
                    <w:rPr>
                      <w:rFonts w:ascii="仿宋_GB2312" w:hAnsi="仿宋_GB2312" w:cs="仿宋_GB2312" w:eastAsia="仿宋_GB2312"/>
                      <w:sz w:val="20"/>
                    </w:rPr>
                    <w:t>1.</w:t>
                  </w:r>
                  <w:r>
                    <w:rPr>
                      <w:rFonts w:ascii="仿宋_GB2312" w:hAnsi="仿宋_GB2312" w:cs="仿宋_GB2312" w:eastAsia="仿宋_GB2312"/>
                      <w:sz w:val="20"/>
                    </w:rPr>
                    <w:t>专家指导下，深入沟通课程设计思路，形成课程主线、知识模</w:t>
                  </w:r>
                  <w:r>
                    <w:rPr>
                      <w:rFonts w:ascii="仿宋_GB2312" w:hAnsi="仿宋_GB2312" w:cs="仿宋_GB2312" w:eastAsia="仿宋_GB2312"/>
                      <w:sz w:val="20"/>
                    </w:rPr>
                    <w:t>块、知识单元。</w:t>
                  </w:r>
                  <w:r>
                    <w:rPr>
                      <w:rFonts w:ascii="仿宋_GB2312" w:hAnsi="仿宋_GB2312" w:cs="仿宋_GB2312" w:eastAsia="仿宋_GB2312"/>
                      <w:sz w:val="20"/>
                    </w:rPr>
                    <w:t xml:space="preserve">每 </w:t>
                  </w:r>
                  <w:r>
                    <w:rPr>
                      <w:rFonts w:ascii="仿宋_GB2312" w:hAnsi="仿宋_GB2312" w:cs="仿宋_GB2312" w:eastAsia="仿宋_GB2312"/>
                      <w:sz w:val="20"/>
                    </w:rPr>
                    <w:t xml:space="preserve">16 </w:t>
                  </w:r>
                  <w:r>
                    <w:rPr>
                      <w:rFonts w:ascii="仿宋_GB2312" w:hAnsi="仿宋_GB2312" w:cs="仿宋_GB2312" w:eastAsia="仿宋_GB2312"/>
                      <w:sz w:val="20"/>
                    </w:rPr>
                    <w:t xml:space="preserve">学时 </w:t>
                  </w:r>
                  <w:r>
                    <w:rPr>
                      <w:rFonts w:ascii="仿宋_GB2312" w:hAnsi="仿宋_GB2312" w:cs="仿宋_GB2312" w:eastAsia="仿宋_GB2312"/>
                      <w:sz w:val="20"/>
                    </w:rPr>
                    <w:t>50~80 个知识点</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2.</w:t>
                  </w:r>
                  <w:r>
                    <w:rPr>
                      <w:rFonts w:ascii="仿宋_GB2312" w:hAnsi="仿宋_GB2312" w:cs="仿宋_GB2312" w:eastAsia="仿宋_GB2312"/>
                      <w:sz w:val="20"/>
                    </w:rPr>
                    <w:t>双方建设团队沟通知识点关联</w:t>
                  </w:r>
                </w:p>
                <w:p>
                  <w:pPr>
                    <w:pStyle w:val="null3"/>
                    <w:ind w:left="30"/>
                  </w:pPr>
                  <w:r>
                    <w:rPr>
                      <w:rFonts w:ascii="仿宋_GB2312" w:hAnsi="仿宋_GB2312" w:cs="仿宋_GB2312" w:eastAsia="仿宋_GB2312"/>
                      <w:sz w:val="20"/>
                    </w:rPr>
                    <w:t>2.1</w:t>
                  </w:r>
                  <w:r>
                    <w:rPr>
                      <w:rFonts w:ascii="仿宋_GB2312" w:hAnsi="仿宋_GB2312" w:cs="仿宋_GB2312" w:eastAsia="仿宋_GB2312"/>
                      <w:sz w:val="20"/>
                    </w:rPr>
                    <w:t xml:space="preserve">知识点之间应至少包含 </w:t>
                  </w:r>
                  <w:r>
                    <w:rPr>
                      <w:rFonts w:ascii="仿宋_GB2312" w:hAnsi="仿宋_GB2312" w:cs="仿宋_GB2312" w:eastAsia="仿宋_GB2312"/>
                      <w:sz w:val="20"/>
                    </w:rPr>
                    <w:t>3%</w:t>
                  </w:r>
                  <w:r>
                    <w:rPr>
                      <w:rFonts w:ascii="仿宋_GB2312" w:hAnsi="仿宋_GB2312" w:cs="仿宋_GB2312" w:eastAsia="仿宋_GB2312"/>
                      <w:sz w:val="20"/>
                    </w:rPr>
                    <w:t>的前后置关系</w:t>
                  </w:r>
                </w:p>
                <w:p>
                  <w:pPr>
                    <w:pStyle w:val="null3"/>
                    <w:ind w:left="30"/>
                  </w:pPr>
                  <w:r>
                    <w:rPr>
                      <w:rFonts w:ascii="仿宋_GB2312" w:hAnsi="仿宋_GB2312" w:cs="仿宋_GB2312" w:eastAsia="仿宋_GB2312"/>
                      <w:sz w:val="20"/>
                    </w:rPr>
                    <w:t>2.2</w:t>
                  </w:r>
                  <w:r>
                    <w:rPr>
                      <w:rFonts w:ascii="仿宋_GB2312" w:hAnsi="仿宋_GB2312" w:cs="仿宋_GB2312" w:eastAsia="仿宋_GB2312"/>
                      <w:sz w:val="20"/>
                    </w:rPr>
                    <w:t xml:space="preserve">知识点之间应至少包含 </w:t>
                  </w:r>
                  <w:r>
                    <w:rPr>
                      <w:rFonts w:ascii="仿宋_GB2312" w:hAnsi="仿宋_GB2312" w:cs="仿宋_GB2312" w:eastAsia="仿宋_GB2312"/>
                      <w:sz w:val="20"/>
                    </w:rPr>
                    <w:t>3%</w:t>
                  </w:r>
                  <w:r>
                    <w:rPr>
                      <w:rFonts w:ascii="仿宋_GB2312" w:hAnsi="仿宋_GB2312" w:cs="仿宋_GB2312" w:eastAsia="仿宋_GB2312"/>
                      <w:sz w:val="20"/>
                    </w:rPr>
                    <w:t>的关联关系</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3.</w:t>
                  </w:r>
                  <w:r>
                    <w:rPr>
                      <w:rFonts w:ascii="仿宋_GB2312" w:hAnsi="仿宋_GB2312" w:cs="仿宋_GB2312" w:eastAsia="仿宋_GB2312"/>
                      <w:sz w:val="20"/>
                    </w:rPr>
                    <w:t>双方建设团队沟通，确定最终知识点数量，形成知识点关联和</w:t>
                  </w:r>
                  <w:r>
                    <w:rPr>
                      <w:rFonts w:ascii="仿宋_GB2312" w:hAnsi="仿宋_GB2312" w:cs="仿宋_GB2312" w:eastAsia="仿宋_GB2312"/>
                      <w:sz w:val="20"/>
                    </w:rPr>
                    <w:t>标签设计</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4.</w:t>
                  </w:r>
                  <w:r>
                    <w:rPr>
                      <w:rFonts w:ascii="仿宋_GB2312" w:hAnsi="仿宋_GB2312" w:cs="仿宋_GB2312" w:eastAsia="仿宋_GB2312"/>
                      <w:sz w:val="20"/>
                    </w:rPr>
                    <w:t>双方建设团队沟通，形成基础课、核心课、拓展课的课程之间</w:t>
                  </w:r>
                  <w:r>
                    <w:rPr>
                      <w:rFonts w:ascii="仿宋_GB2312" w:hAnsi="仿宋_GB2312" w:cs="仿宋_GB2312" w:eastAsia="仿宋_GB2312"/>
                      <w:sz w:val="20"/>
                    </w:rPr>
                    <w:t>关联。允许存在跨课程的知识点关联关系</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5"/>
                  </w:pPr>
                  <w:r>
                    <w:rPr>
                      <w:rFonts w:ascii="仿宋_GB2312" w:hAnsi="仿宋_GB2312" w:cs="仿宋_GB2312" w:eastAsia="仿宋_GB2312"/>
                      <w:sz w:val="20"/>
                    </w:rPr>
                    <w:t>5.</w:t>
                  </w:r>
                  <w:r>
                    <w:rPr>
                      <w:rFonts w:ascii="仿宋_GB2312" w:hAnsi="仿宋_GB2312" w:cs="仿宋_GB2312" w:eastAsia="仿宋_GB2312"/>
                      <w:sz w:val="20"/>
                    </w:rPr>
                    <w:t>双方建设团队沟通，基于课程目标建立与知识点的关联，支撑</w:t>
                  </w:r>
                  <w:r>
                    <w:rPr>
                      <w:rFonts w:ascii="仿宋_GB2312" w:hAnsi="仿宋_GB2312" w:cs="仿宋_GB2312" w:eastAsia="仿宋_GB2312"/>
                      <w:sz w:val="20"/>
                    </w:rPr>
                    <w:t>课程目标达成</w:t>
                  </w:r>
                </w:p>
              </w:tc>
            </w:tr>
            <w:tr>
              <w:tc>
                <w:tcPr>
                  <w:tcW w:type="dxa" w:w="12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7</w:t>
                  </w:r>
                </w:p>
              </w:tc>
              <w:tc>
                <w:tcPr>
                  <w:tcW w:type="dxa" w:w="247"/>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课程资源更新、整理服务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1.</w:t>
                  </w:r>
                  <w:r>
                    <w:rPr>
                      <w:rFonts w:ascii="仿宋_GB2312" w:hAnsi="仿宋_GB2312" w:cs="仿宋_GB2312" w:eastAsia="仿宋_GB2312"/>
                      <w:sz w:val="20"/>
                    </w:rPr>
                    <w:t>由老师提供课程资源，包括：MOOC 视频、习题、资料</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pPr>
                  <w:r>
                    <w:rPr>
                      <w:rFonts w:ascii="仿宋_GB2312" w:hAnsi="仿宋_GB2312" w:cs="仿宋_GB2312" w:eastAsia="仿宋_GB2312"/>
                      <w:sz w:val="20"/>
                    </w:rPr>
                    <w:t>2.</w:t>
                  </w:r>
                  <w:r>
                    <w:rPr>
                      <w:rFonts w:ascii="仿宋_GB2312" w:hAnsi="仿宋_GB2312" w:cs="仿宋_GB2312" w:eastAsia="仿宋_GB2312"/>
                      <w:sz w:val="20"/>
                    </w:rPr>
                    <w:t>由超星提供 AI 智能推荐资源库，包括开放课、期刊、图书、视频、文档、音频、链接、图片。</w:t>
                  </w:r>
                  <w:r>
                    <w:rPr>
                      <w:rFonts w:ascii="仿宋_GB2312" w:hAnsi="仿宋_GB2312" w:cs="仿宋_GB2312" w:eastAsia="仿宋_GB2312"/>
                      <w:sz w:val="20"/>
                    </w:rPr>
                    <w:t>每门课不低于 2000 个资源</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8</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80"/>
                    <w:ind w:left="30" w:right="30"/>
                    <w:jc w:val="center"/>
                  </w:pPr>
                  <w:r>
                    <w:rPr>
                      <w:rFonts w:ascii="仿宋_GB2312" w:hAnsi="仿宋_GB2312" w:cs="仿宋_GB2312" w:eastAsia="仿宋_GB2312"/>
                      <w:sz w:val="20"/>
                    </w:rPr>
                    <w:t>课程知识点关联服务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30"/>
                    <w:ind w:left="30" w:right="15"/>
                  </w:pPr>
                  <w:r>
                    <w:rPr>
                      <w:rFonts w:ascii="仿宋_GB2312" w:hAnsi="仿宋_GB2312" w:cs="仿宋_GB2312" w:eastAsia="仿宋_GB2312"/>
                      <w:sz w:val="20"/>
                    </w:rPr>
                    <w:t xml:space="preserve">由超星提供课程 </w:t>
                  </w:r>
                  <w:r>
                    <w:rPr>
                      <w:rFonts w:ascii="仿宋_GB2312" w:hAnsi="仿宋_GB2312" w:cs="仿宋_GB2312" w:eastAsia="仿宋_GB2312"/>
                      <w:sz w:val="20"/>
                    </w:rPr>
                    <w:t xml:space="preserve">MOOC </w:t>
                  </w:r>
                  <w:r>
                    <w:rPr>
                      <w:rFonts w:ascii="仿宋_GB2312" w:hAnsi="仿宋_GB2312" w:cs="仿宋_GB2312" w:eastAsia="仿宋_GB2312"/>
                      <w:sz w:val="20"/>
                    </w:rPr>
                    <w:t>视频、习题、资料关联，确保运用与正</w:t>
                  </w:r>
                  <w:r>
                    <w:rPr>
                      <w:rFonts w:ascii="仿宋_GB2312" w:hAnsi="仿宋_GB2312" w:cs="仿宋_GB2312" w:eastAsia="仿宋_GB2312"/>
                      <w:sz w:val="20"/>
                    </w:rPr>
                    <w:t xml:space="preserve">常教学，为期 </w:t>
                  </w:r>
                  <w:r>
                    <w:rPr>
                      <w:rFonts w:ascii="仿宋_GB2312" w:hAnsi="仿宋_GB2312" w:cs="仿宋_GB2312" w:eastAsia="仿宋_GB2312"/>
                      <w:sz w:val="20"/>
                    </w:rPr>
                    <w:t xml:space="preserve">15 </w:t>
                  </w:r>
                  <w:r>
                    <w:rPr>
                      <w:rFonts w:ascii="仿宋_GB2312" w:hAnsi="仿宋_GB2312" w:cs="仿宋_GB2312" w:eastAsia="仿宋_GB2312"/>
                      <w:sz w:val="20"/>
                    </w:rPr>
                    <w:t>天确保上线</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9</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知识图谱升级</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numPr>
                      <w:ilvl w:val="0"/>
                      <w:numId w:val="1"/>
                    </w:numPr>
                    <w:ind w:right="15"/>
                  </w:pPr>
                  <w:r>
                    <w:rPr>
                      <w:rFonts w:ascii="仿宋_GB2312" w:hAnsi="仿宋_GB2312" w:cs="仿宋_GB2312" w:eastAsia="仿宋_GB2312"/>
                      <w:sz w:val="20"/>
                    </w:rPr>
                    <w:t>随着课程内容更新、知识结构调整，提供图谱的知识结构、能</w:t>
                  </w:r>
                  <w:r>
                    <w:rPr>
                      <w:rFonts w:ascii="仿宋_GB2312" w:hAnsi="仿宋_GB2312" w:cs="仿宋_GB2312" w:eastAsia="仿宋_GB2312"/>
                      <w:sz w:val="20"/>
                    </w:rPr>
                    <w:t>力/目标升级</w:t>
                  </w:r>
                </w:p>
                <w:p>
                  <w:pPr>
                    <w:pStyle w:val="null3"/>
                    <w:numPr>
                      <w:ilvl w:val="0"/>
                      <w:numId w:val="1"/>
                    </w:numPr>
                  </w:pPr>
                  <w:r>
                    <w:rPr>
                      <w:rFonts w:ascii="仿宋_GB2312" w:hAnsi="仿宋_GB2312" w:cs="仿宋_GB2312" w:eastAsia="仿宋_GB2312"/>
                      <w:sz w:val="20"/>
                    </w:rPr>
                    <w:t>服务期限</w:t>
                  </w:r>
                  <w:r>
                    <w:rPr>
                      <w:rFonts w:ascii="仿宋_GB2312" w:hAnsi="仿宋_GB2312" w:cs="仿宋_GB2312" w:eastAsia="仿宋_GB2312"/>
                      <w:sz w:val="20"/>
                    </w:rPr>
                    <w:t>2年</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10</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问题图谱设计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以核心能力培养为导向，以问题图谱为架构，建设“经典问题—</w:t>
                  </w:r>
                </w:p>
                <w:p>
                  <w:pPr>
                    <w:pStyle w:val="null3"/>
                    <w:ind w:left="30" w:right="15"/>
                  </w:pPr>
                  <w:r>
                    <w:rPr>
                      <w:rFonts w:ascii="仿宋_GB2312" w:hAnsi="仿宋_GB2312" w:cs="仿宋_GB2312" w:eastAsia="仿宋_GB2312"/>
                      <w:sz w:val="20"/>
                    </w:rPr>
                    <w:t>—</w:t>
                  </w:r>
                  <w:r>
                    <w:rPr>
                      <w:rFonts w:ascii="仿宋_GB2312" w:hAnsi="仿宋_GB2312" w:cs="仿宋_GB2312" w:eastAsia="仿宋_GB2312"/>
                      <w:sz w:val="20"/>
                    </w:rPr>
                    <w:t>疑难问题——综合问题”三层问题体系，形成问题链式进阶思</w:t>
                  </w:r>
                  <w:r>
                    <w:rPr>
                      <w:rFonts w:ascii="仿宋_GB2312" w:hAnsi="仿宋_GB2312" w:cs="仿宋_GB2312" w:eastAsia="仿宋_GB2312"/>
                      <w:sz w:val="20"/>
                    </w:rPr>
                    <w:t>考模型。通过问题间的逻辑关系，将三层问题体系相关联，通过</w:t>
                  </w:r>
                  <w:r>
                    <w:rPr>
                      <w:rFonts w:ascii="仿宋_GB2312" w:hAnsi="仿宋_GB2312" w:cs="仿宋_GB2312" w:eastAsia="仿宋_GB2312"/>
                      <w:sz w:val="20"/>
                    </w:rPr>
                    <w:t>建设完整的问题体系及关联的问题描述、问题标签，关联知识点，形成基于问题的学习路径</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11</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能力目标图谱服务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05"/>
                  </w:pPr>
                  <w:r>
                    <w:rPr>
                      <w:rFonts w:ascii="仿宋_GB2312" w:hAnsi="仿宋_GB2312" w:cs="仿宋_GB2312" w:eastAsia="仿宋_GB2312"/>
                      <w:sz w:val="20"/>
                    </w:rPr>
                    <w:t>基于专业培养方案毕业要求指标点与课程目标，梳理课程核心</w:t>
                  </w:r>
                  <w:r>
                    <w:rPr>
                      <w:rFonts w:ascii="仿宋_GB2312" w:hAnsi="仿宋_GB2312" w:cs="仿宋_GB2312" w:eastAsia="仿宋_GB2312"/>
                      <w:sz w:val="20"/>
                    </w:rPr>
                    <w:t>能力目标，与知识点相关联，形成知识点</w:t>
                  </w:r>
                  <w:r>
                    <w:rPr>
                      <w:rFonts w:ascii="仿宋_GB2312" w:hAnsi="仿宋_GB2312" w:cs="仿宋_GB2312" w:eastAsia="仿宋_GB2312"/>
                      <w:sz w:val="20"/>
                    </w:rPr>
                    <w:t>-课程目标-毕业要求关</w:t>
                  </w:r>
                  <w:r>
                    <w:rPr>
                      <w:rFonts w:ascii="仿宋_GB2312" w:hAnsi="仿宋_GB2312" w:cs="仿宋_GB2312" w:eastAsia="仿宋_GB2312"/>
                      <w:sz w:val="20"/>
                    </w:rPr>
                    <w:t>联体系，形成能力画像，包含能力名称、能力详情、关联问题、</w:t>
                  </w:r>
                  <w:r>
                    <w:rPr>
                      <w:rFonts w:ascii="仿宋_GB2312" w:hAnsi="仿宋_GB2312" w:cs="仿宋_GB2312" w:eastAsia="仿宋_GB2312"/>
                      <w:sz w:val="20"/>
                    </w:rPr>
                    <w:t>关联主题、关联知识点等，支持教学团队开展基于达成度的精准</w:t>
                  </w:r>
                  <w:r>
                    <w:rPr>
                      <w:rFonts w:ascii="仿宋_GB2312" w:hAnsi="仿宋_GB2312" w:cs="仿宋_GB2312" w:eastAsia="仿宋_GB2312"/>
                      <w:sz w:val="20"/>
                    </w:rPr>
                    <w:t>教学实施与评价。</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12</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65"/>
                    <w:ind w:left="30" w:right="30"/>
                    <w:jc w:val="center"/>
                  </w:pPr>
                  <w:r>
                    <w:rPr>
                      <w:rFonts w:ascii="仿宋_GB2312" w:hAnsi="仿宋_GB2312" w:cs="仿宋_GB2312" w:eastAsia="仿宋_GB2312"/>
                      <w:sz w:val="20"/>
                    </w:rPr>
                    <w:t>自定义图谱服务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right="15"/>
                  </w:pPr>
                  <w:r>
                    <w:rPr>
                      <w:rFonts w:ascii="仿宋_GB2312" w:hAnsi="仿宋_GB2312" w:cs="仿宋_GB2312" w:eastAsia="仿宋_GB2312"/>
                      <w:sz w:val="20"/>
                    </w:rPr>
                    <w:t>根据课程设计需要，结合特聘专家建议，设计自定义图谱，比如</w:t>
                  </w:r>
                  <w:r>
                    <w:rPr>
                      <w:rFonts w:ascii="仿宋_GB2312" w:hAnsi="仿宋_GB2312" w:cs="仿宋_GB2312" w:eastAsia="仿宋_GB2312"/>
                      <w:sz w:val="20"/>
                    </w:rPr>
                    <w:t>案例图谱、项目图谱等，可选择图谱呈现样式</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13</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right="30"/>
                    <w:jc w:val="center"/>
                  </w:pPr>
                  <w:r>
                    <w:rPr>
                      <w:rFonts w:ascii="仿宋_GB2312" w:hAnsi="仿宋_GB2312" w:cs="仿宋_GB2312" w:eastAsia="仿宋_GB2312"/>
                      <w:sz w:val="20"/>
                    </w:rPr>
                    <w:t>AI 知识库对接服务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pPr>
                  <w:r>
                    <w:rPr>
                      <w:rFonts w:ascii="仿宋_GB2312" w:hAnsi="仿宋_GB2312" w:cs="仿宋_GB2312" w:eastAsia="仿宋_GB2312"/>
                      <w:sz w:val="20"/>
                    </w:rPr>
                    <w:t>对接超星公用 AI 知识库</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14</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right="30"/>
                    <w:jc w:val="center"/>
                  </w:pPr>
                  <w:r>
                    <w:rPr>
                      <w:rFonts w:ascii="仿宋_GB2312" w:hAnsi="仿宋_GB2312" w:cs="仿宋_GB2312" w:eastAsia="仿宋_GB2312"/>
                      <w:sz w:val="20"/>
                    </w:rPr>
                    <w:t>AI 知识库训练服务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pPr>
                  <w:r>
                    <w:rPr>
                      <w:rFonts w:ascii="仿宋_GB2312" w:hAnsi="仿宋_GB2312" w:cs="仿宋_GB2312" w:eastAsia="仿宋_GB2312"/>
                      <w:sz w:val="20"/>
                    </w:rPr>
                    <w:t>结合课程建设专属 AI 知识库</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15</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right="30"/>
                    <w:jc w:val="center"/>
                  </w:pPr>
                  <w:r>
                    <w:rPr>
                      <w:rFonts w:ascii="仿宋_GB2312" w:hAnsi="仿宋_GB2312" w:cs="仿宋_GB2312" w:eastAsia="仿宋_GB2312"/>
                      <w:sz w:val="20"/>
                    </w:rPr>
                    <w:t>AI 问答库训练服务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pPr>
                  <w:r>
                    <w:rPr>
                      <w:rFonts w:ascii="仿宋_GB2312" w:hAnsi="仿宋_GB2312" w:cs="仿宋_GB2312" w:eastAsia="仿宋_GB2312"/>
                      <w:sz w:val="20"/>
                    </w:rPr>
                    <w:t>结合课程建设专属 AI 问答库</w:t>
                  </w:r>
                </w:p>
              </w:tc>
            </w:tr>
            <w:tr>
              <w:tc>
                <w:tcPr>
                  <w:tcW w:type="dxa" w:w="12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16</w:t>
                  </w:r>
                </w:p>
              </w:tc>
              <w:tc>
                <w:tcPr>
                  <w:tcW w:type="dxa" w:w="247"/>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个性化智能体开发服务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 xml:space="preserve">提供超 </w:t>
                  </w:r>
                  <w:r>
                    <w:rPr>
                      <w:rFonts w:ascii="仿宋_GB2312" w:hAnsi="仿宋_GB2312" w:cs="仿宋_GB2312" w:eastAsia="仿宋_GB2312"/>
                      <w:sz w:val="20"/>
                    </w:rPr>
                    <w:t xml:space="preserve">100 </w:t>
                  </w:r>
                  <w:r>
                    <w:rPr>
                      <w:rFonts w:ascii="仿宋_GB2312" w:hAnsi="仿宋_GB2312" w:cs="仿宋_GB2312" w:eastAsia="仿宋_GB2312"/>
                      <w:sz w:val="20"/>
                    </w:rPr>
                    <w:t>个开放智能体，可直接引用嵌入课程，指导老师根据</w:t>
                  </w:r>
                  <w:r>
                    <w:rPr>
                      <w:rFonts w:ascii="仿宋_GB2312" w:hAnsi="仿宋_GB2312" w:cs="仿宋_GB2312" w:eastAsia="仿宋_GB2312"/>
                      <w:sz w:val="20"/>
                    </w:rPr>
                    <w:t>课程选用并设计应用场景</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05"/>
                    <w:ind w:left="30"/>
                  </w:pPr>
                  <w:r>
                    <w:rPr>
                      <w:rFonts w:ascii="仿宋_GB2312" w:hAnsi="仿宋_GB2312" w:cs="仿宋_GB2312" w:eastAsia="仿宋_GB2312"/>
                      <w:sz w:val="20"/>
                    </w:rPr>
                    <w:t>提供第三方智能体对接，丰富课程教学应用场景</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5"/>
                    <w:ind w:left="30" w:right="15"/>
                  </w:pPr>
                  <w:r>
                    <w:rPr>
                      <w:rFonts w:ascii="仿宋_GB2312" w:hAnsi="仿宋_GB2312" w:cs="仿宋_GB2312" w:eastAsia="仿宋_GB2312"/>
                      <w:sz w:val="20"/>
                    </w:rPr>
                    <w:t>提供个性化智能体开发，结合课程创设虚拟场景，深度融合课程</w:t>
                  </w:r>
                  <w:r>
                    <w:rPr>
                      <w:rFonts w:ascii="仿宋_GB2312" w:hAnsi="仿宋_GB2312" w:cs="仿宋_GB2312" w:eastAsia="仿宋_GB2312"/>
                      <w:sz w:val="20"/>
                    </w:rPr>
                    <w:t>内容进行交互。</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80"/>
                    <w:ind w:left="90" w:right="75"/>
                    <w:jc w:val="center"/>
                  </w:pPr>
                  <w:r>
                    <w:rPr>
                      <w:rFonts w:ascii="仿宋_GB2312" w:hAnsi="仿宋_GB2312" w:cs="仿宋_GB2312" w:eastAsia="仿宋_GB2312"/>
                      <w:sz w:val="20"/>
                    </w:rPr>
                    <w:t>17</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65"/>
                    <w:ind w:left="30" w:right="30"/>
                    <w:jc w:val="center"/>
                  </w:pPr>
                  <w:r>
                    <w:rPr>
                      <w:rFonts w:ascii="仿宋_GB2312" w:hAnsi="仿宋_GB2312" w:cs="仿宋_GB2312" w:eastAsia="仿宋_GB2312"/>
                      <w:sz w:val="20"/>
                    </w:rPr>
                    <w:t>AI 实践智能体设计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30"/>
                  </w:pPr>
                  <w:r>
                    <w:rPr>
                      <w:rFonts w:ascii="仿宋_GB2312" w:hAnsi="仿宋_GB2312" w:cs="仿宋_GB2312" w:eastAsia="仿宋_GB2312"/>
                      <w:sz w:val="20"/>
                    </w:rPr>
                    <w:t xml:space="preserve">根据课程内容需要，设计 </w:t>
                  </w:r>
                  <w:r>
                    <w:rPr>
                      <w:rFonts w:ascii="仿宋_GB2312" w:hAnsi="仿宋_GB2312" w:cs="仿宋_GB2312" w:eastAsia="仿宋_GB2312"/>
                      <w:sz w:val="20"/>
                    </w:rPr>
                    <w:t xml:space="preserve">3 </w:t>
                  </w:r>
                  <w:r>
                    <w:rPr>
                      <w:rFonts w:ascii="仿宋_GB2312" w:hAnsi="仿宋_GB2312" w:cs="仿宋_GB2312" w:eastAsia="仿宋_GB2312"/>
                      <w:sz w:val="20"/>
                    </w:rPr>
                    <w:t xml:space="preserve">个以上 </w:t>
                  </w:r>
                  <w:r>
                    <w:rPr>
                      <w:rFonts w:ascii="仿宋_GB2312" w:hAnsi="仿宋_GB2312" w:cs="仿宋_GB2312" w:eastAsia="仿宋_GB2312"/>
                      <w:sz w:val="20"/>
                    </w:rPr>
                    <w:t xml:space="preserve">AI </w:t>
                  </w:r>
                  <w:r>
                    <w:rPr>
                      <w:rFonts w:ascii="仿宋_GB2312" w:hAnsi="仿宋_GB2312" w:cs="仿宋_GB2312" w:eastAsia="仿宋_GB2312"/>
                      <w:sz w:val="20"/>
                    </w:rPr>
                    <w:t>实践任务，助力学生结合</w:t>
                  </w:r>
                  <w:r>
                    <w:rPr>
                      <w:rFonts w:ascii="仿宋_GB2312" w:hAnsi="仿宋_GB2312" w:cs="仿宋_GB2312" w:eastAsia="仿宋_GB2312"/>
                      <w:sz w:val="20"/>
                    </w:rPr>
                    <w:t>课程内容深度应用</w:t>
                  </w:r>
                </w:p>
              </w:tc>
            </w:tr>
            <w:tr>
              <w:tc>
                <w:tcPr>
                  <w:tcW w:type="dxa" w:w="128"/>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
                    <w:jc w:val="center"/>
                  </w:pPr>
                  <w:r>
                    <w:rPr>
                      <w:rFonts w:ascii="仿宋_GB2312" w:hAnsi="仿宋_GB2312" w:cs="仿宋_GB2312" w:eastAsia="仿宋_GB2312"/>
                      <w:sz w:val="20"/>
                    </w:rPr>
                    <w:t>18</w:t>
                  </w:r>
                </w:p>
              </w:tc>
              <w:tc>
                <w:tcPr>
                  <w:tcW w:type="dxa" w:w="247"/>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rPr>
                    <w:t>能力导向任务设计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pPr>
                  <w:r>
                    <w:rPr>
                      <w:rFonts w:ascii="仿宋_GB2312" w:hAnsi="仿宋_GB2312" w:cs="仿宋_GB2312" w:eastAsia="仿宋_GB2312"/>
                      <w:sz w:val="20"/>
                    </w:rPr>
                    <w:t>根据教学模式梳理任务需求</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pPr>
                  <w:r>
                    <w:rPr>
                      <w:rFonts w:ascii="仿宋_GB2312" w:hAnsi="仿宋_GB2312" w:cs="仿宋_GB2312" w:eastAsia="仿宋_GB2312"/>
                      <w:sz w:val="20"/>
                    </w:rPr>
                    <w:t>任务样例设计</w:t>
                  </w:r>
                </w:p>
              </w:tc>
            </w:tr>
            <w:tr>
              <w:tc>
                <w:tcPr>
                  <w:tcW w:type="dxa" w:w="128"/>
                  <w:vMerge/>
                  <w:tcBorders>
                    <w:top w:val="none" w:color="000000" w:sz="4"/>
                    <w:left w:val="single" w:color="000000" w:sz="4"/>
                    <w:bottom w:val="single" w:color="000000" w:sz="4"/>
                    <w:right w:val="single" w:color="000000" w:sz="4"/>
                  </w:tcBorders>
                </w:tcPr>
                <w:p/>
              </w:tc>
              <w:tc>
                <w:tcPr>
                  <w:tcW w:type="dxa" w:w="247"/>
                  <w:vMerge/>
                  <w:tcBorders>
                    <w:top w:val="none" w:color="000000" w:sz="4"/>
                    <w:left w:val="none" w:color="000000" w:sz="4"/>
                    <w:bottom w:val="single" w:color="000000" w:sz="4"/>
                    <w:right w:val="single" w:color="000000" w:sz="4"/>
                  </w:tcBorders>
                </w:tcP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pPr>
                  <w:r>
                    <w:rPr>
                      <w:rFonts w:ascii="仿宋_GB2312" w:hAnsi="仿宋_GB2312" w:cs="仿宋_GB2312" w:eastAsia="仿宋_GB2312"/>
                      <w:sz w:val="20"/>
                    </w:rPr>
                    <w:t>任务实施跟进</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90"/>
                    <w:ind w:left="90" w:right="75"/>
                    <w:jc w:val="center"/>
                  </w:pPr>
                  <w:r>
                    <w:rPr>
                      <w:rFonts w:ascii="仿宋_GB2312" w:hAnsi="仿宋_GB2312" w:cs="仿宋_GB2312" w:eastAsia="仿宋_GB2312"/>
                      <w:sz w:val="20"/>
                    </w:rPr>
                    <w:t>19</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right="30"/>
                    <w:jc w:val="center"/>
                  </w:pPr>
                  <w:r>
                    <w:rPr>
                      <w:rFonts w:ascii="仿宋_GB2312" w:hAnsi="仿宋_GB2312" w:cs="仿宋_GB2312" w:eastAsia="仿宋_GB2312"/>
                      <w:sz w:val="20"/>
                    </w:rPr>
                    <w:t>课程应用培训服务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60"/>
                    <w:ind w:left="30"/>
                  </w:pPr>
                  <w:r>
                    <w:rPr>
                      <w:rFonts w:ascii="仿宋_GB2312" w:hAnsi="仿宋_GB2312" w:cs="仿宋_GB2312" w:eastAsia="仿宋_GB2312"/>
                      <w:sz w:val="20"/>
                    </w:rPr>
                    <w:t>教师团队专属培训、多场名校名师讲座、会议交流、操作手册</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90"/>
                    <w:ind w:left="90" w:right="75"/>
                    <w:jc w:val="center"/>
                  </w:pPr>
                  <w:r>
                    <w:rPr>
                      <w:rFonts w:ascii="仿宋_GB2312" w:hAnsi="仿宋_GB2312" w:cs="仿宋_GB2312" w:eastAsia="仿宋_GB2312"/>
                      <w:sz w:val="20"/>
                    </w:rPr>
                    <w:t>20</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right="30"/>
                    <w:jc w:val="center"/>
                  </w:pPr>
                  <w:r>
                    <w:rPr>
                      <w:rFonts w:ascii="仿宋_GB2312" w:hAnsi="仿宋_GB2312" w:cs="仿宋_GB2312" w:eastAsia="仿宋_GB2312"/>
                      <w:sz w:val="20"/>
                    </w:rPr>
                    <w:t>学期运行跟踪服务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75"/>
                    <w:ind w:left="30"/>
                  </w:pPr>
                  <w:r>
                    <w:rPr>
                      <w:rFonts w:ascii="仿宋_GB2312" w:hAnsi="仿宋_GB2312" w:cs="仿宋_GB2312" w:eastAsia="仿宋_GB2312"/>
                      <w:sz w:val="20"/>
                    </w:rPr>
                    <w:t>运行数据实时统计、学情监督管理、课程运维服务</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right="75"/>
                    <w:jc w:val="center"/>
                  </w:pPr>
                  <w:r>
                    <w:rPr>
                      <w:rFonts w:ascii="仿宋_GB2312" w:hAnsi="仿宋_GB2312" w:cs="仿宋_GB2312" w:eastAsia="仿宋_GB2312"/>
                      <w:sz w:val="20"/>
                    </w:rPr>
                    <w:t>21</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30"/>
                    <w:jc w:val="center"/>
                  </w:pPr>
                  <w:r>
                    <w:rPr>
                      <w:rFonts w:ascii="仿宋_GB2312" w:hAnsi="仿宋_GB2312" w:cs="仿宋_GB2312" w:eastAsia="仿宋_GB2312"/>
                      <w:sz w:val="20"/>
                    </w:rPr>
                    <w:t>课程示范教学推广</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45"/>
                    <w:ind w:left="30" w:right="15"/>
                  </w:pPr>
                  <w:r>
                    <w:rPr>
                      <w:rFonts w:ascii="仿宋_GB2312" w:hAnsi="仿宋_GB2312" w:cs="仿宋_GB2312" w:eastAsia="仿宋_GB2312"/>
                      <w:sz w:val="20"/>
                    </w:rPr>
                    <w:t>慕课西行、智慧课程设计大赛、优秀案例展播、教师教学模式创</w:t>
                  </w:r>
                  <w:r>
                    <w:rPr>
                      <w:rFonts w:ascii="仿宋_GB2312" w:hAnsi="仿宋_GB2312" w:cs="仿宋_GB2312" w:eastAsia="仿宋_GB2312"/>
                      <w:sz w:val="20"/>
                    </w:rPr>
                    <w:t>新直播等方式协助推广，提供各类会议、公众号、官网、直播讲</w:t>
                  </w:r>
                  <w:r>
                    <w:rPr>
                      <w:rFonts w:ascii="仿宋_GB2312" w:hAnsi="仿宋_GB2312" w:cs="仿宋_GB2312" w:eastAsia="仿宋_GB2312"/>
                      <w:sz w:val="20"/>
                    </w:rPr>
                    <w:t>座、纸质物料等多种渠道宣传推广</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right="75"/>
                    <w:jc w:val="center"/>
                  </w:pPr>
                  <w:r>
                    <w:rPr>
                      <w:rFonts w:ascii="仿宋_GB2312" w:hAnsi="仿宋_GB2312" w:cs="仿宋_GB2312" w:eastAsia="仿宋_GB2312"/>
                      <w:sz w:val="20"/>
                    </w:rPr>
                    <w:t>22</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45"/>
                    <w:jc w:val="center"/>
                  </w:pPr>
                  <w:r>
                    <w:rPr>
                      <w:rFonts w:ascii="仿宋_GB2312" w:hAnsi="仿宋_GB2312" w:cs="仿宋_GB2312" w:eastAsia="仿宋_GB2312"/>
                      <w:sz w:val="20"/>
                    </w:rPr>
                    <w:t>课程成果一体化凝练服务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90"/>
                    <w:ind w:left="30" w:right="15"/>
                  </w:pPr>
                  <w:r>
                    <w:rPr>
                      <w:rFonts w:ascii="仿宋_GB2312" w:hAnsi="仿宋_GB2312" w:cs="仿宋_GB2312" w:eastAsia="仿宋_GB2312"/>
                      <w:sz w:val="20"/>
                    </w:rPr>
                    <w:t xml:space="preserve">结合 </w:t>
                  </w:r>
                  <w:r>
                    <w:rPr>
                      <w:rFonts w:ascii="仿宋_GB2312" w:hAnsi="仿宋_GB2312" w:cs="仿宋_GB2312" w:eastAsia="仿宋_GB2312"/>
                      <w:sz w:val="20"/>
                    </w:rPr>
                    <w:t xml:space="preserve">101 </w:t>
                  </w:r>
                  <w:r>
                    <w:rPr>
                      <w:rFonts w:ascii="仿宋_GB2312" w:hAnsi="仿宋_GB2312" w:cs="仿宋_GB2312" w:eastAsia="仿宋_GB2312"/>
                      <w:sz w:val="20"/>
                    </w:rPr>
                    <w:t>计划、人工智能</w:t>
                  </w:r>
                  <w:r>
                    <w:rPr>
                      <w:rFonts w:ascii="仿宋_GB2312" w:hAnsi="仿宋_GB2312" w:cs="仿宋_GB2312" w:eastAsia="仿宋_GB2312"/>
                      <w:sz w:val="20"/>
                    </w:rPr>
                    <w:t>+</w:t>
                  </w:r>
                  <w:r>
                    <w:rPr>
                      <w:rFonts w:ascii="仿宋_GB2312" w:hAnsi="仿宋_GB2312" w:cs="仿宋_GB2312" w:eastAsia="仿宋_GB2312"/>
                      <w:sz w:val="20"/>
                    </w:rPr>
                    <w:t>高等教育典型案例、数字教材、虚拟</w:t>
                  </w:r>
                  <w:r>
                    <w:rPr>
                      <w:rFonts w:ascii="仿宋_GB2312" w:hAnsi="仿宋_GB2312" w:cs="仿宋_GB2312" w:eastAsia="仿宋_GB2312"/>
                      <w:sz w:val="20"/>
                    </w:rPr>
                    <w:t>教研室、教研课题申报、教学成果奖、课程思政等多维度发掘培</w:t>
                  </w:r>
                  <w:r>
                    <w:rPr>
                      <w:rFonts w:ascii="仿宋_GB2312" w:hAnsi="仿宋_GB2312" w:cs="仿宋_GB2312" w:eastAsia="仿宋_GB2312"/>
                      <w:sz w:val="20"/>
                    </w:rPr>
                    <w:t>育课程成果</w:t>
                  </w:r>
                </w:p>
              </w:tc>
            </w:tr>
            <w:tr>
              <w:tc>
                <w:tcPr>
                  <w:tcW w:type="dxa" w:w="12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spacing w:before="150"/>
                    <w:ind w:left="90" w:right="75"/>
                    <w:jc w:val="center"/>
                  </w:pPr>
                  <w:r>
                    <w:rPr>
                      <w:rFonts w:ascii="仿宋_GB2312" w:hAnsi="仿宋_GB2312" w:cs="仿宋_GB2312" w:eastAsia="仿宋_GB2312"/>
                      <w:sz w:val="20"/>
                    </w:rPr>
                    <w:t>23</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20"/>
                    <w:ind w:left="30" w:right="30"/>
                    <w:jc w:val="center"/>
                  </w:pPr>
                  <w:r>
                    <w:rPr>
                      <w:rFonts w:ascii="仿宋_GB2312" w:hAnsi="仿宋_GB2312" w:cs="仿宋_GB2312" w:eastAsia="仿宋_GB2312"/>
                      <w:sz w:val="20"/>
                    </w:rPr>
                    <w:t>课程项目申报服务</w:t>
                  </w:r>
                </w:p>
              </w:tc>
              <w:tc>
                <w:tcPr>
                  <w:tcW w:type="dxa" w:w="217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spacing w:before="120"/>
                    <w:ind w:left="30"/>
                  </w:pPr>
                  <w:r>
                    <w:rPr>
                      <w:rFonts w:ascii="仿宋_GB2312" w:hAnsi="仿宋_GB2312" w:cs="仿宋_GB2312" w:eastAsia="仿宋_GB2312"/>
                      <w:sz w:val="20"/>
                    </w:rPr>
                    <w:t>课程申报培训、专家指导、申报数据整理等全流程申报服务</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产品和服务全部交付完毕并经终验合格后，卖方持《终验合格单》原件和全额增值税专用发票在买方处办理百分之百（100%）货款的支付手续</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所制作智慧课程、课程全部资料及运行数据等产权均归西安建筑科技大学所有。 2.成交供应商领取通知书时需提供纸质响应文件2份，电子版1份（U盘存储）。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协商授权</w:t>
            </w:r>
          </w:p>
        </w:tc>
        <w:tc>
          <w:tcPr>
            <w:tcW w:type="dxa" w:w="3322"/>
          </w:tcPr>
          <w:p>
            <w:pPr>
              <w:pStyle w:val="null3"/>
            </w:pPr>
            <w:r>
              <w:rPr>
                <w:rFonts w:ascii="仿宋_GB2312" w:hAnsi="仿宋_GB2312" w:cs="仿宋_GB2312" w:eastAsia="仿宋_GB2312"/>
              </w:rPr>
              <w:t>供应商应授权合法的人员参加协商全过程，其中法定代表人（或负责人）直接参加协商的，须出具法定代表人（或负责人）身份证，并与营业执照上信息一致。法定代表人（或负责人）授权代表参加协商的，提供法定代表人委托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属于专门面向中小企业采购的项目</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一、在协商过程中，出现下列情形之一的，评审委员会应当启动异常低价投标（响应）审查程序：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响应报价不得超出采购预算或最高限价</w:t>
            </w:r>
          </w:p>
        </w:tc>
        <w:tc>
          <w:tcPr>
            <w:tcW w:type="dxa" w:w="3322"/>
          </w:tcPr>
          <w:p>
            <w:pPr>
              <w:pStyle w:val="null3"/>
            </w:pPr>
            <w:r>
              <w:rPr>
                <w:rFonts w:ascii="仿宋_GB2312" w:hAnsi="仿宋_GB2312" w:cs="仿宋_GB2312" w:eastAsia="仿宋_GB2312"/>
              </w:rPr>
              <w:t>响应报价不得超出采购预算或最高限价</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响应文件中技术、服务内容须达到采购要求，不得出现重大负偏差，降低采购文件要求。</w:t>
            </w:r>
          </w:p>
        </w:tc>
        <w:tc>
          <w:tcPr>
            <w:tcW w:type="dxa" w:w="3322"/>
          </w:tcPr>
          <w:p>
            <w:pPr>
              <w:pStyle w:val="null3"/>
            </w:pPr>
            <w:r>
              <w:rPr>
                <w:rFonts w:ascii="仿宋_GB2312" w:hAnsi="仿宋_GB2312" w:cs="仿宋_GB2312" w:eastAsia="仿宋_GB2312"/>
              </w:rPr>
              <w:t>响应文件中技术、服务内容须达到采购要求，不得出现重大负偏差，降低采购文件要求。</w:t>
            </w:r>
          </w:p>
        </w:tc>
        <w:tc>
          <w:tcPr>
            <w:tcW w:type="dxa" w:w="1661"/>
          </w:tcPr>
          <w:p>
            <w:pPr>
              <w:pStyle w:val="null3"/>
            </w:pPr>
            <w:r>
              <w:rPr>
                <w:rFonts w:ascii="仿宋_GB2312" w:hAnsi="仿宋_GB2312" w:cs="仿宋_GB2312" w:eastAsia="仿宋_GB2312"/>
              </w:rPr>
              <w:t>谈判偏离表.docx 服务方案</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详见附件：谈判偏离表.docx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