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E173B">
      <w:pPr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80" w:lineRule="atLeast"/>
        <w:ind w:left="0" w:right="0" w:firstLine="0"/>
        <w:jc w:val="center"/>
        <w:outlineLvl w:val="9"/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  <w:t>西安科技大学非学历继续教育教学服务</w:t>
      </w:r>
    </w:p>
    <w:p w14:paraId="273A75CB">
      <w:pPr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80" w:lineRule="atLeast"/>
        <w:ind w:left="0" w:right="0" w:firstLine="0"/>
        <w:jc w:val="center"/>
        <w:outlineLvl w:val="9"/>
        <w:rPr>
          <w:rFonts w:hint="default" w:ascii="仿宋_GB2312" w:hAnsi="仿宋_GB2312" w:eastAsia="仿宋_GB2312" w:cs="仿宋_GB2312"/>
          <w:b/>
          <w:bCs w:val="0"/>
          <w:color w:val="auto"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  <w:t>合作协议</w:t>
      </w:r>
    </w:p>
    <w:p w14:paraId="37280D52">
      <w:pPr>
        <w:outlineLvl w:val="9"/>
        <w:rPr>
          <w:rStyle w:val="6"/>
          <w:rFonts w:hint="default" w:ascii="Segoe UI" w:hAnsi="Segoe UI" w:eastAsia="Segoe UI" w:cs="Segoe UI"/>
          <w:caps w:val="0"/>
          <w:color w:val="0F1115"/>
          <w:spacing w:val="0"/>
          <w:sz w:val="24"/>
          <w:szCs w:val="24"/>
          <w:shd w:val="clear" w:fill="FFFFFF"/>
        </w:rPr>
      </w:pPr>
    </w:p>
    <w:p w14:paraId="7F598FEC">
      <w:pPr>
        <w:outlineLvl w:val="9"/>
        <w:rPr>
          <w:rStyle w:val="6"/>
          <w:rFonts w:hint="default" w:ascii="Segoe UI" w:hAnsi="Segoe UI" w:eastAsia="Segoe UI" w:cs="Segoe UI"/>
          <w:caps w:val="0"/>
          <w:color w:val="0F1115"/>
          <w:spacing w:val="0"/>
          <w:sz w:val="24"/>
          <w:szCs w:val="24"/>
          <w:shd w:val="clear" w:fill="FFFFFF"/>
        </w:rPr>
      </w:pPr>
    </w:p>
    <w:p w14:paraId="68B54737">
      <w:pPr>
        <w:outlineLvl w:val="9"/>
        <w:rPr>
          <w:rStyle w:val="6"/>
          <w:rFonts w:hint="default" w:ascii="Segoe UI" w:hAnsi="Segoe UI" w:eastAsia="Segoe UI" w:cs="Segoe UI"/>
          <w:caps w:val="0"/>
          <w:color w:val="0F1115"/>
          <w:spacing w:val="0"/>
          <w:sz w:val="24"/>
          <w:szCs w:val="24"/>
          <w:shd w:val="clear" w:fill="FFFFFF"/>
        </w:rPr>
      </w:pPr>
    </w:p>
    <w:p w14:paraId="383FA8B4">
      <w:pPr>
        <w:outlineLvl w:val="9"/>
        <w:rPr>
          <w:rStyle w:val="6"/>
          <w:rFonts w:hint="default" w:ascii="Segoe UI" w:hAnsi="Segoe UI" w:eastAsia="Segoe UI" w:cs="Segoe UI"/>
          <w:caps w:val="0"/>
          <w:color w:val="0F1115"/>
          <w:spacing w:val="0"/>
          <w:sz w:val="24"/>
          <w:szCs w:val="24"/>
          <w:shd w:val="clear" w:fill="FFFFFF"/>
        </w:rPr>
      </w:pPr>
    </w:p>
    <w:p w14:paraId="3B563338">
      <w:pPr>
        <w:outlineLvl w:val="9"/>
        <w:rPr>
          <w:rStyle w:val="6"/>
          <w:rFonts w:hint="default" w:ascii="Segoe UI" w:hAnsi="Segoe UI" w:eastAsia="Segoe UI" w:cs="Segoe UI"/>
          <w:caps w:val="0"/>
          <w:color w:val="0F1115"/>
          <w:spacing w:val="0"/>
          <w:sz w:val="24"/>
          <w:szCs w:val="24"/>
          <w:shd w:val="clear" w:fill="FFFFFF"/>
        </w:rPr>
      </w:pPr>
    </w:p>
    <w:p w14:paraId="0F3B7AB0">
      <w:pPr>
        <w:outlineLvl w:val="9"/>
        <w:rPr>
          <w:rStyle w:val="6"/>
          <w:rFonts w:hint="default" w:ascii="Segoe UI" w:hAnsi="Segoe UI" w:eastAsia="Segoe UI" w:cs="Segoe UI"/>
          <w:caps w:val="0"/>
          <w:color w:val="0F1115"/>
          <w:spacing w:val="0"/>
          <w:sz w:val="24"/>
          <w:szCs w:val="24"/>
          <w:shd w:val="clear" w:fill="FFFFFF"/>
        </w:rPr>
      </w:pPr>
    </w:p>
    <w:p w14:paraId="4C0F997C">
      <w:pPr>
        <w:jc w:val="both"/>
        <w:outlineLvl w:val="9"/>
        <w:rPr>
          <w:rStyle w:val="6"/>
          <w:rFonts w:hint="default" w:ascii="Segoe UI" w:hAnsi="Segoe UI" w:eastAsia="Segoe UI" w:cs="Segoe UI"/>
          <w:caps w:val="0"/>
          <w:color w:val="0F1115"/>
          <w:spacing w:val="0"/>
          <w:sz w:val="24"/>
          <w:szCs w:val="24"/>
          <w:shd w:val="clear" w:fill="FFFFFF"/>
        </w:rPr>
      </w:pPr>
    </w:p>
    <w:p w14:paraId="4D388BA8">
      <w:pPr>
        <w:pStyle w:val="7"/>
        <w:jc w:val="center"/>
        <w:outlineLvl w:val="9"/>
        <w:rPr>
          <w:rFonts w:hint="eastAsia" w:ascii="仿宋_GB2312" w:hAnsi="仿宋_GB2312" w:eastAsia="仿宋_GB2312" w:cs="仿宋_GB2312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highlight w:val="none"/>
          <w:lang w:val="en-US" w:eastAsia="zh-CN"/>
        </w:rPr>
        <w:t>签订地点：西安科技大学</w:t>
      </w:r>
    </w:p>
    <w:p w14:paraId="24B05069">
      <w:pPr>
        <w:pStyle w:val="7"/>
        <w:jc w:val="center"/>
        <w:outlineLvl w:val="9"/>
        <w:rPr>
          <w:rFonts w:hint="eastAsia" w:ascii="仿宋_GB2312" w:hAnsi="仿宋_GB2312" w:eastAsia="仿宋_GB2312" w:cs="仿宋_GB2312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highlight w:val="none"/>
          <w:lang w:val="en-US" w:eastAsia="zh-CN"/>
        </w:rPr>
        <w:t>签订时间：  年  月  日</w:t>
      </w:r>
    </w:p>
    <w:p w14:paraId="252F34BF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sz w:val="24"/>
          <w:szCs w:val="24"/>
          <w:highlight w:val="none"/>
        </w:rPr>
      </w:pPr>
    </w:p>
    <w:p w14:paraId="23F72629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sz w:val="24"/>
          <w:szCs w:val="24"/>
          <w:highlight w:val="none"/>
        </w:rPr>
      </w:pPr>
    </w:p>
    <w:p w14:paraId="00862F5D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sz w:val="24"/>
          <w:szCs w:val="24"/>
          <w:highlight w:val="none"/>
        </w:rPr>
      </w:pPr>
    </w:p>
    <w:p w14:paraId="0E019835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sz w:val="24"/>
          <w:szCs w:val="24"/>
          <w:highlight w:val="none"/>
        </w:rPr>
      </w:pPr>
    </w:p>
    <w:p w14:paraId="12ECBA43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sz w:val="24"/>
          <w:szCs w:val="24"/>
          <w:highlight w:val="none"/>
        </w:rPr>
      </w:pPr>
    </w:p>
    <w:p w14:paraId="468CBC63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sz w:val="24"/>
          <w:szCs w:val="24"/>
          <w:highlight w:val="none"/>
        </w:rPr>
      </w:pPr>
    </w:p>
    <w:p w14:paraId="2680DC46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sz w:val="24"/>
          <w:szCs w:val="24"/>
          <w:highlight w:val="none"/>
        </w:rPr>
      </w:pPr>
    </w:p>
    <w:p w14:paraId="001EE150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sz w:val="24"/>
          <w:szCs w:val="24"/>
          <w:highlight w:val="none"/>
        </w:rPr>
      </w:pPr>
    </w:p>
    <w:p w14:paraId="313E75D4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highlight w:val="none"/>
        </w:rPr>
        <w:t>甲方： 西安科技大学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highlight w:val="none"/>
        </w:rPr>
        <w:br w:type="textWrapping"/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highlight w:val="none"/>
        </w:rPr>
        <w:t>乙方：</w:t>
      </w:r>
    </w:p>
    <w:p w14:paraId="35DC921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ind w:right="0" w:firstLine="48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甲乙双方本着相互信任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真诚合作的原则，经双方友好协商，就乙方为甲方提供非学历继续教育现场服务事宜达成一致意见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根据《中华人民共和国民法典》及相关法律法规，特签订本合同，以资共同遵守。</w:t>
      </w:r>
    </w:p>
    <w:p w14:paraId="5AD465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outlineLvl w:val="9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sz w:val="24"/>
          <w:szCs w:val="24"/>
          <w:highlight w:val="none"/>
          <w:lang w:val="en-US" w:eastAsia="zh-Hans"/>
        </w:rPr>
        <w:t>第一条 服务内容与要求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24"/>
          <w:szCs w:val="24"/>
          <w:highlight w:val="none"/>
          <w:lang w:val="en-US" w:eastAsia="zh-Hans"/>
        </w:rPr>
        <w:br w:type="textWrapping"/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lang w:val="en-US" w:eastAsia="zh-Hans"/>
        </w:rPr>
        <w:t>1.1 核心服务范围</w:t>
      </w:r>
    </w:p>
    <w:p w14:paraId="488AF6C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right="0"/>
        <w:textAlignment w:val="auto"/>
        <w:outlineLvl w:val="9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乙方为甲方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非学历继续教育培训项目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提供全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流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程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教学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服务，具体包括：</w:t>
      </w:r>
    </w:p>
    <w:p w14:paraId="7373ED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（1）培训前咨询服务：需求调研（精准对接委托方及学员培训需求）、培训方案定制（含课程体系设计、培训形式规划）、师资推荐与对接（匹配项目需求的优质师资）、提供培训预算编制专业建议。</w:t>
      </w:r>
    </w:p>
    <w:p w14:paraId="5E3B72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（2）培训中会务服务：教学场地租赁与现场管理、学员住宿与餐饮统筹安排、授课师资全程接待、教学设备与资料准备（含物料制作、分发）、开班与结业仪式的策划组织、学员日常考勤与纪律管理、培训现场突发情况的应急处理。</w:t>
      </w:r>
    </w:p>
    <w:p w14:paraId="27B5CC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（3）培训后延伸服务：对学员学习效果进行多维度评估（含考试、测评、调研等）、撰写培训总结报告（含数据统计、效果分析、改进建议）、对培训档案进行系统化整理（含电子档及纸质档）、对后期培训需求进行持续跟进与对接。</w:t>
      </w:r>
    </w:p>
    <w:p w14:paraId="578355C8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textAlignment w:val="auto"/>
        <w:outlineLvl w:val="9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1.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 xml:space="preserve"> 服务标准</w:t>
      </w:r>
    </w:p>
    <w:p w14:paraId="71468F9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right="0" w:rightChars="0" w:firstLine="480" w:firstLineChars="200"/>
        <w:jc w:val="left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（1）整体服务：严格遵循西安科技大学非学历继续教育的相关规定，按照学校与委托方确定的培训方案执行，服务过程做到规范化、标准化、精细化。</w:t>
      </w:r>
    </w:p>
    <w:p w14:paraId="5BA6AB4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right="0" w:rightChars="0" w:firstLine="480" w:firstLineChars="200"/>
        <w:jc w:val="left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（2）场地与食宿：教学场地需满足培训规模及课程需求，配备完善的教学设备（投影仪、音响、网络等）；学员住宿与餐饮需符合卫生、安全标准，根据培训项目定位合理选择，提前向学校提供场地或酒店实景资料及报价。</w:t>
      </w:r>
    </w:p>
    <w:p w14:paraId="0B2B2B2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right="0" w:rightChars="0" w:firstLine="480" w:firstLineChars="200"/>
        <w:jc w:val="left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（3）物料与档案：培训物料制作需保证质量，内容准确、排版规范；培训档案需做到资料完整、分类清晰，包括培训方案、师资资料、学员信息、考勤记录、评估结果、总结报告等。纸质档案需装订成册，电子档案需备份存档，按学校要求移交。</w:t>
      </w:r>
    </w:p>
    <w:p w14:paraId="0308E6E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right="0" w:rightChars="0" w:firstLine="480" w:firstLineChars="200"/>
        <w:jc w:val="left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（4）服务态度：服务团队须具备良好的职业素养，全程热情、耐心、高效地响应学校及学员的需求，及时解决各类问题。</w:t>
      </w:r>
    </w:p>
    <w:p w14:paraId="643B5127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textAlignment w:val="auto"/>
        <w:outlineLvl w:val="9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1.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服务效率</w:t>
      </w:r>
    </w:p>
    <w:p w14:paraId="4E67153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right="0" w:rightChars="0" w:firstLine="480" w:firstLineChars="200"/>
        <w:jc w:val="left"/>
        <w:textAlignment w:val="auto"/>
        <w:outlineLvl w:val="9"/>
        <w:rPr>
          <w:rFonts w:hint="eastAsia" w:ascii="方正仿宋_GB2312" w:hAnsi="方正仿宋_GB2312" w:eastAsia="方正仿宋_GB2312" w:cs="方正仿宋_GB2312"/>
          <w:kern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</w:rPr>
        <w:t>需求响应：接到学校培训服务需求后，需在2 个工作日内完成初步需求调研，3 个工作日内提交定制化培训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  <w:lang w:val="en-US" w:eastAsia="zh-CN"/>
        </w:rPr>
        <w:t>服务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</w:rPr>
        <w:t>方案及预算建议。</w:t>
      </w:r>
    </w:p>
    <w:p w14:paraId="18A328E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right="0" w:rightChars="0" w:firstLine="480" w:firstLineChars="200"/>
        <w:jc w:val="left"/>
        <w:textAlignment w:val="auto"/>
        <w:outlineLvl w:val="9"/>
        <w:rPr>
          <w:rFonts w:hint="eastAsia" w:ascii="方正仿宋_GB2312" w:hAnsi="方正仿宋_GB2312" w:eastAsia="方正仿宋_GB2312" w:cs="方正仿宋_GB2312"/>
          <w:kern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</w:rPr>
        <w:t>筹备实施：培训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  <w:lang w:val="en-US" w:eastAsia="zh-CN"/>
        </w:rPr>
        <w:t>服务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</w:rPr>
        <w:t>方案确认后，根据项目时间要求，高效完成场地、师资、物料等各项筹备工作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  <w:lang w:eastAsia="zh-CN"/>
        </w:rPr>
        <w:t>。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</w:rPr>
        <w:t>常规培训项目筹备周期不超过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</w:rPr>
        <w:t>个工作日，紧急项目按学校指定时间完成筹备。</w:t>
      </w:r>
    </w:p>
    <w:p w14:paraId="70188A5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right="0" w:rightChars="0" w:firstLine="480" w:firstLineChars="200"/>
        <w:jc w:val="left"/>
        <w:textAlignment w:val="auto"/>
        <w:outlineLvl w:val="9"/>
        <w:rPr>
          <w:rFonts w:hint="eastAsia" w:ascii="方正仿宋_GB2312" w:hAnsi="方正仿宋_GB2312" w:eastAsia="方正仿宋_GB2312" w:cs="方正仿宋_GB2312"/>
          <w:kern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</w:rPr>
        <w:t>问题处理：培训过程中出现各类问题，需即时响应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  <w:lang w:eastAsia="zh-CN"/>
        </w:rPr>
        <w:t>。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</w:rPr>
        <w:t>一般问题在1小时内解决，复杂问题需制定解决方案并向学校报备，在24小时内妥善处理。</w:t>
      </w:r>
    </w:p>
    <w:p w14:paraId="0F991D9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right="0" w:rightChars="0" w:firstLine="480" w:firstLineChars="200"/>
        <w:jc w:val="left"/>
        <w:textAlignment w:val="auto"/>
        <w:outlineLvl w:val="9"/>
        <w:rPr>
          <w:rFonts w:hint="eastAsia" w:ascii="方正仿宋_GB2312" w:hAnsi="方正仿宋_GB2312" w:eastAsia="方正仿宋_GB2312" w:cs="方正仿宋_GB2312"/>
          <w:kern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</w:rPr>
        <w:t>后续服务：培训结束后，需在5个工作日内完成学习效果评估，7个工作日内提交培训总结报告及整理完毕的培训档案。</w:t>
      </w:r>
    </w:p>
    <w:p w14:paraId="5B54850B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textAlignment w:val="auto"/>
        <w:outlineLvl w:val="9"/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1.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 xml:space="preserve"> 技术保障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（1）供应商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须具备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基础的信息化服务能力，能提供线上培训辅助服务（如线上考勤、线上测评、学习资料线上分发等），支持与学校现有培训管理系统的简易对接。</w:t>
      </w:r>
    </w:p>
    <w:p w14:paraId="5560BA95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outlineLvl w:val="9"/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（2）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应保障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培训过程中教学设备、网络系统的正常运行，配备专业的技术人员，现场提供技术支持，及时排查设备、网络故障。</w:t>
      </w:r>
    </w:p>
    <w:p w14:paraId="486CD3EE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（3）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应做好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培训相关数据、资料的信息化存储与安全保障，建立数据备份机制，防止信息泄露、丢失，严格遵守国家数据安全相关法律法规。</w:t>
      </w:r>
    </w:p>
    <w:p w14:paraId="6B285495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textAlignment w:val="auto"/>
        <w:outlineLvl w:val="9"/>
        <w:rPr>
          <w:rFonts w:hint="default" w:ascii="方正仿宋_GB2312" w:hAnsi="方正仿宋_GB2312" w:eastAsia="方正仿宋_GB2312" w:cs="方正仿宋_GB2312"/>
          <w:b/>
          <w:bCs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1.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具体管理要求</w:t>
      </w:r>
    </w:p>
    <w:p w14:paraId="675580F8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outlineLvl w:val="9"/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（3）合规经营：服务过程中严格遵守国家税收、劳动保障、安全生产、食品安全等相关法律法规，若因供应商自身违规操作产生的一切法律责任、经济损失，均由供应商自行承担。</w:t>
      </w:r>
    </w:p>
    <w:p w14:paraId="7C253A26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outlineLvl w:val="9"/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（4）价格透明：供应商提供的各项服务报价需真实、透明、合理，明确各项服务的收费标准，无隐形消费，报价需经学校审核确认后方可执行，不得擅自提高收费标准。</w:t>
      </w:r>
    </w:p>
    <w:p w14:paraId="45E04B80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outlineLvl w:val="9"/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（3）应急保障：制定完善的培训现场应急预案，涵盖突发医疗事件、消防安全事件、设备故障、恶劣天气等各类情况，配备应急物资（急救包、消防器材等），定期组织团队开展应急演练。</w:t>
      </w:r>
    </w:p>
    <w:p w14:paraId="51E6874E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outlineLvl w:val="9"/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（4）品牌维护：自觉维护学校的品牌形象，不得在服务过程中做出有损学校声誉的行为，若因供应商行为导致学校品牌受损，学校有权终止合作并要求赔偿。</w:t>
      </w:r>
    </w:p>
    <w:p w14:paraId="21E99F8F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（5）资料报备：供应商需按学校要求，及时报备培训服务过程中的各类资料（师资资料、场地资料、预算资料、培训过程资料等），接受学校的监督与检查。</w:t>
      </w:r>
    </w:p>
    <w:p w14:paraId="6C5E26A5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Autospacing="0" w:line="500" w:lineRule="exact"/>
        <w:textAlignment w:val="auto"/>
        <w:outlineLvl w:val="9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1.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 xml:space="preserve"> 人员安排</w:t>
      </w:r>
    </w:p>
    <w:p w14:paraId="00B38B88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outlineLvl w:val="9"/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（1）供应商需为每个培训项目配备专属项目负责人，项目负责人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须具备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1年及以上培训项目管理经验，全程对接学校，负责项目的整体统筹、协调与执行，保持 24 小时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通信畅通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。</w:t>
      </w:r>
    </w:p>
    <w:p w14:paraId="3D74B909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outlineLvl w:val="9"/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（2）根据培训项目规模配备相应的服务人员，包括会务人员、教学辅助人员、技术人员等，50人及以下培训项目服务人员不少于2名，50人以上培训项目按每增加30人至少增配1名服务人员的标准执行。</w:t>
      </w:r>
    </w:p>
    <w:p w14:paraId="0354AA44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outlineLvl w:val="9"/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（3）所有服务人员需经专业培训后上岗，具备相应的岗位能力和职业素养，服务过程中得体着装、规范用语。</w:t>
      </w:r>
    </w:p>
    <w:p w14:paraId="3814AB0E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（4）供应商需向学校提供服务团队成员的基本信息、工作经验等资料，若更换团队核心成员，需提前3个工作日向学校报备。</w:t>
      </w:r>
    </w:p>
    <w:p w14:paraId="4ECAD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24"/>
          <w:szCs w:val="24"/>
          <w:highlight w:val="none"/>
          <w:lang w:val="en-US" w:eastAsia="zh-Hans"/>
        </w:rPr>
        <w:t>第二条 服务期限</w:t>
      </w:r>
    </w:p>
    <w:p w14:paraId="05C5C7C5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服务期限为自合作协议签订之日起 3 年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。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服务期内，学校将对供应商进行动态考核，考核合格者可继续履行协议，不合格者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将被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24"/>
          <w:szCs w:val="24"/>
          <w:lang w:val="en-US" w:eastAsia="zh-CN"/>
        </w:rPr>
        <w:t>剔除。</w:t>
      </w:r>
    </w:p>
    <w:p w14:paraId="44F0682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  <w:t>费用结算与支付</w:t>
      </w:r>
    </w:p>
    <w:p w14:paraId="7D9A26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textAlignment w:val="auto"/>
        <w:outlineLvl w:val="9"/>
        <w:rPr>
          <w:rFonts w:hint="default" w:ascii="方正仿宋_GB2312" w:hAnsi="方正仿宋_GB2312" w:eastAsia="方正仿宋_GB2312" w:cs="方正仿宋_GB2312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0"/>
          <w:sz w:val="24"/>
          <w:szCs w:val="24"/>
          <w:lang w:val="en-US" w:eastAsia="zh-CN"/>
        </w:rPr>
        <w:t>3.1</w:t>
      </w:r>
      <w:r>
        <w:rPr>
          <w:rFonts w:hint="default" w:ascii="方正仿宋_GB2312" w:hAnsi="方正仿宋_GB2312" w:eastAsia="方正仿宋_GB2312" w:cs="方正仿宋_GB2312"/>
          <w:b/>
          <w:bCs/>
          <w:kern w:val="0"/>
          <w:sz w:val="24"/>
          <w:szCs w:val="24"/>
          <w:lang w:val="en-US" w:eastAsia="zh-CN"/>
        </w:rPr>
        <w:t xml:space="preserve"> 费用</w:t>
      </w:r>
      <w:r>
        <w:rPr>
          <w:rFonts w:hint="eastAsia" w:ascii="方正仿宋_GB2312" w:hAnsi="方正仿宋_GB2312" w:eastAsia="方正仿宋_GB2312" w:cs="方正仿宋_GB2312"/>
          <w:b/>
          <w:bCs/>
          <w:kern w:val="0"/>
          <w:sz w:val="24"/>
          <w:szCs w:val="24"/>
          <w:lang w:val="en-US" w:eastAsia="zh-CN"/>
        </w:rPr>
        <w:t>结算</w:t>
      </w:r>
      <w:r>
        <w:rPr>
          <w:rFonts w:hint="default" w:ascii="方正仿宋_GB2312" w:hAnsi="方正仿宋_GB2312" w:eastAsia="方正仿宋_GB2312" w:cs="方正仿宋_GB2312"/>
          <w:b/>
          <w:bCs/>
          <w:kern w:val="0"/>
          <w:sz w:val="24"/>
          <w:szCs w:val="24"/>
          <w:lang w:val="en-US" w:eastAsia="zh-CN"/>
        </w:rPr>
        <w:t>与支付</w:t>
      </w:r>
    </w:p>
    <w:p w14:paraId="267A00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textAlignment w:val="auto"/>
        <w:outlineLvl w:val="9"/>
        <w:rPr>
          <w:rFonts w:hint="default" w:ascii="方正仿宋_GB2312" w:hAnsi="方正仿宋_GB2312" w:eastAsia="方正仿宋_GB2312" w:cs="方正仿宋_GB2312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0"/>
          <w:sz w:val="24"/>
          <w:szCs w:val="24"/>
          <w:lang w:val="en-US" w:eastAsia="zh-CN"/>
        </w:rPr>
        <w:t>3.1.1</w:t>
      </w:r>
      <w:r>
        <w:rPr>
          <w:rFonts w:hint="default" w:ascii="方正仿宋_GB2312" w:hAnsi="方正仿宋_GB2312" w:eastAsia="方正仿宋_GB2312" w:cs="方正仿宋_GB2312"/>
          <w:b/>
          <w:bCs/>
          <w:kern w:val="0"/>
          <w:sz w:val="24"/>
          <w:szCs w:val="24"/>
          <w:lang w:val="en-US" w:eastAsia="zh-CN"/>
        </w:rPr>
        <w:t>结算原则</w:t>
      </w:r>
    </w:p>
    <w:p w14:paraId="2A2E99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outlineLvl w:val="9"/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lang w:val="en-US" w:eastAsia="zh-CN"/>
        </w:rPr>
        <w:t>（1）</w:t>
      </w:r>
      <w:r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lang w:val="en-US" w:eastAsia="zh-CN"/>
        </w:rPr>
        <w:t>双方实行一项一结，按单个培训项目独立结算。</w:t>
      </w:r>
    </w:p>
    <w:p w14:paraId="308509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outlineLvl w:val="9"/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lang w:val="en-US" w:eastAsia="zh-CN"/>
        </w:rPr>
        <w:t>（2）</w:t>
      </w:r>
      <w:r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lang w:val="en-US" w:eastAsia="zh-CN"/>
        </w:rPr>
        <w:t>乙方服务费用结算以乙方完全满足本协议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lang w:val="en-US" w:eastAsia="zh-CN"/>
        </w:rPr>
        <w:t>中</w:t>
      </w:r>
      <w:r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lang w:val="en-US" w:eastAsia="zh-CN"/>
        </w:rPr>
        <w:t>甲方全部要求为前提。乙方</w:t>
      </w:r>
      <w:r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未达到甲方约定标准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，</w:t>
      </w:r>
      <w:r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甲方有权暂缓、调整或不予结算，直至乙方整改合格。</w:t>
      </w:r>
    </w:p>
    <w:p w14:paraId="796A8B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textAlignment w:val="auto"/>
        <w:outlineLvl w:val="9"/>
        <w:rPr>
          <w:rFonts w:hint="default" w:ascii="方正仿宋_GB2312" w:hAnsi="方正仿宋_GB2312" w:eastAsia="方正仿宋_GB2312" w:cs="方正仿宋_GB2312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0"/>
          <w:sz w:val="24"/>
          <w:szCs w:val="24"/>
          <w:highlight w:val="none"/>
          <w:lang w:val="en-US" w:eastAsia="zh-CN"/>
        </w:rPr>
        <w:t>3.1.2</w:t>
      </w:r>
      <w:r>
        <w:rPr>
          <w:rFonts w:hint="default" w:ascii="方正仿宋_GB2312" w:hAnsi="方正仿宋_GB2312" w:eastAsia="方正仿宋_GB2312" w:cs="方正仿宋_GB2312"/>
          <w:b/>
          <w:bCs/>
          <w:kern w:val="0"/>
          <w:sz w:val="24"/>
          <w:szCs w:val="24"/>
          <w:highlight w:val="none"/>
          <w:lang w:val="en-US" w:eastAsia="zh-CN"/>
        </w:rPr>
        <w:t>结算标准与核定</w:t>
      </w:r>
    </w:p>
    <w:p w14:paraId="547383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outlineLvl w:val="9"/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结算依据：结算金额 = 实际培训天数 × 服务人员数量 × 对应类别单价</w:t>
      </w:r>
    </w:p>
    <w:p w14:paraId="0845E2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outlineLvl w:val="9"/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培训天数：指培训项目实际实施的日历天数（以甲方确认的培训日程安排为准）。</w:t>
      </w:r>
    </w:p>
    <w:p w14:paraId="7FBFB5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outlineLvl w:val="9"/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服务人员数量：以甲方确认的服务人员配置方案为准。</w:t>
      </w:r>
    </w:p>
    <w:p w14:paraId="79A5D1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outlineLvl w:val="9"/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付款流程：培训项目交付完成后，乙方提交《教学服务工作计量表》，列明培训天数、服务人员配置及对应服务类别。经双方书面确认工作量后，乙方向甲方开具合法有效的增值税发票及项目工作量清单。甲方在收到发票及清单后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10</w:t>
      </w:r>
      <w:r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个工作日内 向乙方支付相应服务费用。</w:t>
      </w:r>
    </w:p>
    <w:p w14:paraId="6D2FD2C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ind w:left="0" w:right="0"/>
        <w:textAlignment w:val="auto"/>
        <w:outlineLvl w:val="9"/>
        <w:rPr>
          <w:rFonts w:hint="default" w:ascii="方正仿宋_GB2312" w:hAnsi="方正仿宋_GB2312" w:eastAsia="方正仿宋_GB2312" w:cs="方正仿宋_GB2312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0"/>
          <w:sz w:val="24"/>
          <w:szCs w:val="24"/>
          <w:lang w:val="en-US" w:eastAsia="zh-CN"/>
        </w:rPr>
        <w:t>3.1.3</w:t>
      </w:r>
      <w:r>
        <w:rPr>
          <w:rFonts w:hint="default" w:ascii="方正仿宋_GB2312" w:hAnsi="方正仿宋_GB2312" w:eastAsia="方正仿宋_GB2312" w:cs="方正仿宋_GB2312"/>
          <w:b/>
          <w:bCs/>
          <w:kern w:val="0"/>
          <w:sz w:val="24"/>
          <w:szCs w:val="24"/>
          <w:lang w:val="en-US" w:eastAsia="zh-CN"/>
        </w:rPr>
        <w:t>支付时限</w:t>
      </w:r>
    </w:p>
    <w:p w14:paraId="432C8AE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 w:firstLine="480" w:firstLineChars="200"/>
        <w:jc w:val="left"/>
        <w:textAlignment w:val="auto"/>
        <w:outlineLvl w:val="9"/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lang w:val="en-US" w:eastAsia="zh-CN"/>
        </w:rPr>
        <w:t>甲方在收到乙方开具的对应金额的增值税发票后30 个工作日内，将对应费用支付至乙方指定账户。</w:t>
      </w:r>
    </w:p>
    <w:p w14:paraId="1D0710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textAlignment w:val="auto"/>
        <w:outlineLvl w:val="9"/>
        <w:rPr>
          <w:rFonts w:hint="default" w:ascii="方正仿宋_GB2312" w:hAnsi="方正仿宋_GB2312" w:eastAsia="方正仿宋_GB2312" w:cs="方正仿宋_GB2312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0"/>
          <w:sz w:val="24"/>
          <w:szCs w:val="24"/>
          <w:lang w:val="en-US" w:eastAsia="zh-CN"/>
        </w:rPr>
        <w:t>3.1.4</w:t>
      </w:r>
      <w:r>
        <w:rPr>
          <w:rFonts w:hint="default" w:ascii="方正仿宋_GB2312" w:hAnsi="方正仿宋_GB2312" w:eastAsia="方正仿宋_GB2312" w:cs="方正仿宋_GB2312"/>
          <w:b/>
          <w:bCs/>
          <w:kern w:val="0"/>
          <w:sz w:val="24"/>
          <w:szCs w:val="24"/>
          <w:lang w:val="en-US" w:eastAsia="zh-CN"/>
        </w:rPr>
        <w:t>协商条款</w:t>
      </w:r>
    </w:p>
    <w:p w14:paraId="016EEFA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outlineLvl w:val="9"/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lang w:val="en-US" w:eastAsia="zh-CN"/>
        </w:rPr>
        <w:t>如存在退费、投诉、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lang w:val="en-US" w:eastAsia="zh-CN"/>
        </w:rPr>
        <w:t>满意度</w:t>
      </w:r>
      <w:r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lang w:val="en-US" w:eastAsia="zh-CN"/>
        </w:rPr>
        <w:t>不达标、政策调整等情况，甲方有权相应调整结算金额或暂缓支付。</w:t>
      </w:r>
    </w:p>
    <w:p w14:paraId="2377697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80" w:firstLineChars="200"/>
        <w:textAlignment w:val="auto"/>
        <w:outlineLvl w:val="9"/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kern w:val="0"/>
          <w:sz w:val="24"/>
          <w:szCs w:val="24"/>
          <w:lang w:val="en-US" w:eastAsia="zh-CN"/>
        </w:rPr>
        <w:t>双方就结算比例、付款节点等未尽事宜，以补充协议形式另行约定。</w:t>
      </w:r>
    </w:p>
    <w:p w14:paraId="16295292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lang w:val="en-US" w:eastAsia="zh-CN"/>
        </w:rPr>
        <w:t>3.2 开票信息：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lang w:val="en-US" w:eastAsia="zh-CN"/>
        </w:rPr>
        <w:br w:type="textWrapping"/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4"/>
          <w:szCs w:val="24"/>
          <w:lang w:val="en-US" w:eastAsia="zh-CN" w:bidi="ar-SA"/>
        </w:rPr>
        <w:t>     单位名称： 西安科技大学</w:t>
      </w:r>
    </w:p>
    <w:p w14:paraId="3650ED85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ind w:firstLine="48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4"/>
          <w:szCs w:val="24"/>
          <w:lang w:val="en-US" w:eastAsia="zh-CN" w:bidi="ar-SA"/>
        </w:rPr>
        <w:t> 单位地址： 西安市雁塔中路58号</w:t>
      </w:r>
    </w:p>
    <w:p w14:paraId="3A0A9C6D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ind w:firstLine="48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4"/>
          <w:szCs w:val="24"/>
          <w:lang w:val="en-US" w:eastAsia="zh-CN" w:bidi="ar-SA"/>
        </w:rPr>
        <w:t> 电 话： 029-83858081</w:t>
      </w:r>
    </w:p>
    <w:p w14:paraId="37B09A09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ind w:firstLine="48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4"/>
          <w:szCs w:val="24"/>
          <w:lang w:val="en-US" w:eastAsia="zh-CN" w:bidi="ar-SA"/>
        </w:rPr>
        <w:t>  开 户 行： 中国银行股份有限公司西安大雁塔北广场支行</w:t>
      </w:r>
    </w:p>
    <w:p w14:paraId="547F4C07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ind w:firstLine="48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4"/>
          <w:szCs w:val="24"/>
          <w:lang w:val="en-US" w:eastAsia="zh-CN" w:bidi="ar-SA"/>
        </w:rPr>
        <w:t>  账 号： 102492014123</w:t>
      </w:r>
    </w:p>
    <w:p w14:paraId="50978141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ind w:firstLine="48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4"/>
          <w:szCs w:val="24"/>
          <w:lang w:val="en-US" w:eastAsia="zh-CN" w:bidi="ar-SA"/>
        </w:rPr>
        <w:t>  纳税人识别号： 126100004352305265</w:t>
      </w:r>
    </w:p>
    <w:p w14:paraId="29CAB8C1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ind w:firstLine="48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4"/>
          <w:szCs w:val="24"/>
          <w:lang w:val="en-US" w:eastAsia="zh-CN" w:bidi="ar-SA"/>
        </w:rPr>
        <w:t>  甲方前述信息变更时，应及时通知乙方。</w:t>
      </w:r>
    </w:p>
    <w:p w14:paraId="77EB2D0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ind w:left="0" w:lef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24"/>
          <w:szCs w:val="24"/>
          <w:highlight w:val="none"/>
          <w:lang w:val="en-US" w:eastAsia="zh-Hans"/>
        </w:rPr>
        <w:t>甲方权利与义务</w:t>
      </w:r>
    </w:p>
    <w:p w14:paraId="34A46A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Hans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Hans" w:bidi="ar-SA"/>
        </w:rPr>
        <w:t>4.1 甲方应根据项目需要，为乙方提供必要的办公场地及项目交付过程所需的相关资源。</w:t>
      </w:r>
    </w:p>
    <w:p w14:paraId="370993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Hans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Hans" w:bidi="ar-SA"/>
        </w:rPr>
        <w:t>4.2 甲方有权监督、指导乙方按合同约定的内容、数量及质量标准实施服务。</w:t>
      </w:r>
    </w:p>
    <w:p w14:paraId="5582D0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Hans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Hans" w:bidi="ar-SA"/>
        </w:rPr>
        <w:t>4.3 甲方有权要求乙方调换不能胜任项目工作的服务人员，乙方在接到甲方通知后，应当及时选派具备相应能力的替补人员，并完成工作交接，确保项目服务不中断。因替换人员产生的合理费用由乙方承担。</w:t>
      </w:r>
    </w:p>
    <w:p w14:paraId="76C38A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Hans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Hans" w:bidi="ar-SA"/>
        </w:rPr>
        <w:t>4.4 甲方如需要更换服务地点或变更服务内容，应及时书面通知乙方，乙方收到甲方通知后，必须及时办理并予以配合。</w:t>
      </w:r>
    </w:p>
    <w:p w14:paraId="72CACD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Hans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Hans" w:bidi="ar-SA"/>
        </w:rPr>
        <w:t>4.5 按合同约定及时向乙方支付服务费用。</w:t>
      </w:r>
    </w:p>
    <w:p w14:paraId="1DA45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88" w:beforeLines="60" w:beforeAutospacing="0" w:after="188" w:afterLines="60" w:afterAutospacing="0" w:line="500" w:lineRule="exact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24"/>
          <w:szCs w:val="24"/>
          <w:highlight w:val="none"/>
          <w:lang w:val="en-US" w:eastAsia="zh-Hans"/>
        </w:rPr>
        <w:t>第五条 乙方权利与义务</w:t>
      </w:r>
    </w:p>
    <w:p w14:paraId="086B2E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  <w:t>5.1 甲方逾期付款的，有权追究甲方违约责任。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  <w:br w:type="textWrapping"/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  <w:t>5.2 乙方须按合同约定的内容、数量及质量标准实施培训服务工作。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  <w:br w:type="textWrapping"/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  <w:t>5.3合作期间乙方派驻甲方的服务人员应遵守甲方的相关规章制度，不得从事与项目无关的工作，不得利用服务之便，进行任何形式的营销、宣传或推介活动。</w:t>
      </w:r>
    </w:p>
    <w:p w14:paraId="64557C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  <w:t>5.4乙方在合作期间应注意安全，爱护甲方设施设备。乙方人员发生的工伤事故，</w:t>
      </w:r>
      <w:r>
        <w:rPr>
          <w:rFonts w:hint="default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  <w:t>由乙方按国家规定处理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  <w:t>。</w:t>
      </w:r>
      <w:r>
        <w:rPr>
          <w:rFonts w:hint="default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  <w:t>因乙方人员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  <w:t>故意或过失造成甲方或第三方财物或人身财产损失的，由乙方承担全部经济责任和法律责任。</w:t>
      </w:r>
    </w:p>
    <w:p w14:paraId="2C40E9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  <w:t>5.5 持续具备履行合同所需主体资格与业务资质，配合甲方检查。</w:t>
      </w:r>
    </w:p>
    <w:p w14:paraId="052987C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24"/>
          <w:szCs w:val="24"/>
          <w:highlight w:val="none"/>
          <w:lang w:val="en-US" w:eastAsia="zh-Hans"/>
        </w:rPr>
        <w:t>第六条 保密条款</w:t>
      </w:r>
    </w:p>
    <w:p w14:paraId="0216AB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firstLine="480" w:firstLineChars="20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  <w:t>双方均需对合作过程中获悉的对方商业秘密、培训项目信息、学员信息等保密，保密期限为协议终止后 3 年，若一方泄露保密信息，需承担相应的赔偿责任。</w:t>
      </w:r>
    </w:p>
    <w:p w14:paraId="4FF173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sz w:val="24"/>
          <w:szCs w:val="24"/>
          <w:highlight w:val="none"/>
          <w:lang w:val="en-US" w:eastAsia="zh-Hans"/>
        </w:rPr>
        <w:t>第七条 违约责任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24"/>
          <w:szCs w:val="24"/>
          <w:highlight w:val="none"/>
          <w:lang w:val="en-US" w:eastAsia="zh-Hans"/>
        </w:rPr>
        <w:br w:type="textWrapping"/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  <w:t>7.1 在本合同签订时及履行过程中，乙方应持续具备履行本合同项下服务的全部主体资格、业务资质等；否则，甲方有权终止本合同，并追究乙方违约责任。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  <w:br w:type="textWrapping"/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  <w:t>7.2 若乙方未按协议要求提供服务、擅自转包分包项目、服务质量不达标或未按约定时间完成服务等，甲方有权根据情况扣减相应服务费用。情节严重的，有权终止合同、剔除供应商库，乙方赔偿甲方全部经济损失。</w:t>
      </w:r>
    </w:p>
    <w:p w14:paraId="657B58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  <w:t>7.3 若甲方未按协议约定按时支付服务费用，每逾期一日，按应付金额的万分之五向乙方支付逾期付款违约金。</w:t>
      </w:r>
    </w:p>
    <w:p w14:paraId="34AF7CC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ind w:left="0" w:right="0" w:firstLine="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sz w:val="24"/>
          <w:szCs w:val="24"/>
          <w:highlight w:val="none"/>
          <w:lang w:val="en-US" w:eastAsia="zh-Hans"/>
        </w:rPr>
        <w:t>第八条 不可抗力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24"/>
          <w:szCs w:val="24"/>
          <w:highlight w:val="none"/>
          <w:lang w:val="en-US" w:eastAsia="zh-Hans"/>
        </w:rPr>
        <w:br w:type="textWrapping"/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  <w:t>8.1 遇不可抗力事由，导致一方无法按本合同及其附件要求执行的，无法执行一方应在不可抗力事由发生后24小时内书面通知对方，并提供相关证明。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  <w:br w:type="textWrapping"/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4"/>
          <w:szCs w:val="24"/>
          <w:lang w:val="en-US" w:eastAsia="zh-CN" w:bidi="ar-SA"/>
        </w:rPr>
        <w:t>8.2 经双方确认属不可抗力的，根据不可抗力的影响，部分或者全部免除责任，但法律另有规定的除外。如乙方已完成部分工作并经甲方确认的，甲方应按乙方实际完成工作量支付相应费用。</w:t>
      </w:r>
    </w:p>
    <w:p w14:paraId="7955F3C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ind w:left="0" w:right="0" w:firstLine="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sz w:val="24"/>
          <w:szCs w:val="24"/>
          <w:highlight w:val="none"/>
          <w:lang w:val="en-US" w:eastAsia="zh-Hans"/>
        </w:rPr>
        <w:t>第九条 争议解决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24"/>
          <w:szCs w:val="24"/>
          <w:highlight w:val="none"/>
          <w:lang w:val="en-US" w:eastAsia="zh-Hans"/>
        </w:rPr>
        <w:br w:type="textWrapping"/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</w:rPr>
        <w:t>9.1 双方在履行本合同过程中产生的争议，应首先通过友好协商解决。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</w:rPr>
        <w:br w:type="textWrapping"/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</w:rPr>
        <w:t>9.2 协商不成的，任何一方均有权向甲方所在地有管辖权的人民法院提起诉讼。</w:t>
      </w:r>
    </w:p>
    <w:p w14:paraId="1B43BA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24"/>
          <w:szCs w:val="24"/>
          <w:highlight w:val="none"/>
          <w:lang w:val="en-US" w:eastAsia="zh-Hans"/>
        </w:rPr>
        <w:t>第十条 合同终止与续签</w:t>
      </w:r>
    </w:p>
    <w:p w14:paraId="57803A4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right="0" w:rightChars="0"/>
        <w:jc w:val="left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4"/>
          <w:szCs w:val="24"/>
          <w:lang w:val="en-US" w:eastAsia="zh-CN" w:bidi="ar-SA"/>
        </w:rPr>
        <w:t>10.1 协议终止与续签：服务期届满后，双方可根据合作情况、考核结果协商续签协议。</w:t>
      </w:r>
    </w:p>
    <w:p w14:paraId="2CF4C33E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4"/>
          <w:szCs w:val="24"/>
          <w:lang w:val="en-US" w:eastAsia="zh-CN" w:bidi="ar-SA"/>
        </w:rPr>
        <w:t>10.2 服务期内，若一方出现严重违约行为，另一方有权单方终止协议。书面通知送达即生效。</w:t>
      </w:r>
    </w:p>
    <w:p w14:paraId="6B6187B0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4"/>
          <w:szCs w:val="24"/>
          <w:lang w:val="en-US" w:eastAsia="zh-CN" w:bidi="ar-SA"/>
        </w:rPr>
        <w:t>10.3 合同终止后，乙方应完好移交全部资料、设备，结清相关事宜。</w:t>
      </w:r>
    </w:p>
    <w:p w14:paraId="1CC0D89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beforeAutospacing="0" w:after="188" w:afterLines="60" w:afterAutospacing="0" w:line="500" w:lineRule="exact"/>
        <w:ind w:left="0" w:right="0" w:firstLine="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sz w:val="24"/>
          <w:szCs w:val="24"/>
          <w:highlight w:val="none"/>
          <w:lang w:val="en-US" w:eastAsia="zh-CN"/>
        </w:rPr>
        <w:t>第十一条 其他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</w:rPr>
        <w:t>11.1 本合同未尽事宜，由双方另行协商并签订补充协议。补充协议与本合同具有同等法律效力。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</w:rPr>
        <w:br w:type="textWrapping"/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</w:rPr>
        <w:t>11.2 本合同一式肆份，甲方执贰份，乙方执贰份，自双方法定代表人或授权代表签字并加盖公章之日起生效。</w:t>
      </w:r>
    </w:p>
    <w:p w14:paraId="6D2CBA8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 w:firstLine="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</w:rPr>
        <w:t>（以下无正文）</w:t>
      </w:r>
    </w:p>
    <w:p w14:paraId="39BC614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500" w:lineRule="exact"/>
        <w:ind w:left="0" w:right="0" w:firstLine="0"/>
        <w:textAlignment w:val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sz w:val="24"/>
          <w:szCs w:val="24"/>
        </w:rPr>
      </w:pPr>
    </w:p>
    <w:p w14:paraId="5261718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480" w:lineRule="auto"/>
        <w:ind w:left="0" w:right="0" w:firstLine="0"/>
        <w:textAlignment w:val="auto"/>
        <w:outlineLvl w:val="9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Style w:val="6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甲方（盖章）：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u w:val="none"/>
          <w:shd w:val="clear" w:fill="FFFFFF"/>
        </w:rPr>
        <w:t> 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u w:val="none"/>
          <w:shd w:val="clear" w:fill="FFFFFF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u w:val="none"/>
          <w:shd w:val="clear" w:fill="FFFFFF"/>
        </w:rPr>
        <w:t>西安科技大学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u w:val="none"/>
          <w:shd w:val="clear" w:fill="FFFFFF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u w:val="single"/>
          <w:shd w:val="clear" w:fill="FFFFFF"/>
        </w:rPr>
        <w:br w:type="textWrapping"/>
      </w:r>
      <w:r>
        <w:rPr>
          <w:rStyle w:val="6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法定代表人（或授权代表）签字：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</w:t>
      </w:r>
    </w:p>
    <w:p w14:paraId="41D57DB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480" w:lineRule="auto"/>
        <w:ind w:left="0" w:right="0" w:firstLine="0"/>
        <w:textAlignment w:val="auto"/>
        <w:outlineLvl w:val="9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Style w:val="6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签订日期：</w:t>
      </w:r>
      <w:r>
        <w:rPr>
          <w:rStyle w:val="6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年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月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日</w:t>
      </w:r>
    </w:p>
    <w:p w14:paraId="3F8CB5CA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480" w:lineRule="auto"/>
        <w:ind w:left="0" w:right="0" w:firstLine="0"/>
        <w:textAlignment w:val="auto"/>
        <w:outlineLvl w:val="9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</w:p>
    <w:p w14:paraId="3044514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480" w:lineRule="auto"/>
        <w:ind w:left="0" w:right="0" w:firstLine="0"/>
        <w:textAlignment w:val="auto"/>
        <w:outlineLvl w:val="9"/>
        <w:rPr>
          <w:rStyle w:val="6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Style w:val="6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乙方（盖章）：</w:t>
      </w:r>
      <w:r>
        <w:rPr>
          <w:rStyle w:val="6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br w:type="textWrapping"/>
      </w:r>
      <w:r>
        <w:rPr>
          <w:rStyle w:val="6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法定代表人（或授权代表）签字：</w:t>
      </w:r>
    </w:p>
    <w:p w14:paraId="69BDA95C">
      <w:r>
        <w:rPr>
          <w:rStyle w:val="6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签订日期：</w:t>
      </w:r>
      <w:r>
        <w:rPr>
          <w:rStyle w:val="6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年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月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9DE60E7-A81A-4F5B-BAB3-42397C55A964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3E81F3AF-E2D3-4878-B0BC-0DCA4808134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68F359DA-421A-47B3-8532-7105B5A7A0D5}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25E311"/>
    <w:multiLevelType w:val="singleLevel"/>
    <w:tmpl w:val="BC25E311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E6AFEC0A"/>
    <w:multiLevelType w:val="multilevel"/>
    <w:tmpl w:val="E6AFEC0A"/>
    <w:lvl w:ilvl="0" w:tentative="0">
      <w:start w:val="1"/>
      <w:numFmt w:val="ideographDigit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Restart w:val="0"/>
      <w:lvlText w:val="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2"/>
      <w:lvlText w:val="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">
    <w:nsid w:val="42A4EAB4"/>
    <w:multiLevelType w:val="singleLevel"/>
    <w:tmpl w:val="42A4EAB4"/>
    <w:lvl w:ilvl="0" w:tentative="0">
      <w:start w:val="3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E1C"/>
    <w:rsid w:val="00763E1C"/>
    <w:rsid w:val="0D5F6D00"/>
    <w:rsid w:val="16A5436D"/>
    <w:rsid w:val="3E710F2E"/>
    <w:rsid w:val="4643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numPr>
        <w:ilvl w:val="3"/>
        <w:numId w:val="1"/>
      </w:numPr>
      <w:spacing w:line="460" w:lineRule="exact"/>
    </w:pPr>
    <w:rPr>
      <w:rFonts w:cs="Times New Roman"/>
      <w:szCs w:val="16"/>
    </w:r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3850</Words>
  <Characters>3979</Characters>
  <Lines>0</Lines>
  <Paragraphs>0</Paragraphs>
  <TotalTime>0</TotalTime>
  <ScaleCrop>false</ScaleCrop>
  <LinksUpToDate>false</LinksUpToDate>
  <CharactersWithSpaces>4088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2025-07-15T04:17:00Z</dcterms:created>
  <dc:creator>陕西中技招标有限公司</dc:creator>
  <cp:lastModifiedBy>陕西中技招标有限公司</cp:lastModifiedBy>
  <dcterms:modified xsi:type="dcterms:W3CDTF">2026-03-31T06:51:39Z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E4514CDCA7B64DEFA70E5997D029C818_11</vt:lpwstr>
  </property>
  <property fmtid="{D5CDD505-2E9C-101B-9397-08002B2CF9AE}" pid="4" name="KSOTemplateDocerSaveRecord">
    <vt:lpwstr>eyJoZGlkIjoiNzg2NmMxNjQ3YjEwMWQ0NzY0ZGIyNjIyNDMzNDY3MjciLCJ1c2VySWQiOiI0ODM0NjExNDgifQ==</vt:lpwstr>
  </property>
</Properties>
</file>