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版本号：SZT2026-SN-SC-ZC-FW-024720260423001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非学历继续教育教学服务采购项目(二次)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SZT2026-SN-SC-ZC-FW-0247</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非学历继续教育教学服务采购项目(二次)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SZT2026-SN-SC-ZC-FW-0247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非学历继续教育教学服务采购项目(二次)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提升西安科技大学非学历继续教育培训的教学质量，适应新时代干部培训、企业研修及专业技术等人才培养的多元化需求，本项目旨在通过公开招标方式，按不同业务类别择优选择一批具有丰富经验和优质资源的培训机构，为学校承接的各类培训项目提供相匹配的全流程或模块化教学服务及配套咨询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采购包2：350,000.00元</w:t>
            </w:r>
          </w:p>
          <w:p>
            <w:pPr>
              <w:pStyle w:val="null3"/>
            </w:pPr>
            <w:r>
              <w:rPr>
                <w:rFonts w:ascii="仿宋_GB2312" w:hAnsi="仿宋_GB2312" w:cs="仿宋_GB2312" w:eastAsia="仿宋_GB2312"/>
              </w:rPr>
              <w:t>采购包3：350,000.00元</w:t>
            </w:r>
          </w:p>
          <w:p>
            <w:pPr>
              <w:pStyle w:val="null3"/>
            </w:pPr>
            <w:r>
              <w:rPr>
                <w:rFonts w:ascii="仿宋_GB2312" w:hAnsi="仿宋_GB2312" w:cs="仿宋_GB2312" w:eastAsia="仿宋_GB2312"/>
              </w:rPr>
              <w:t>采购包4：350,000.00元</w:t>
            </w:r>
          </w:p>
          <w:p>
            <w:pPr>
              <w:pStyle w:val="null3"/>
            </w:pPr>
            <w:r>
              <w:rPr>
                <w:rFonts w:ascii="仿宋_GB2312" w:hAnsi="仿宋_GB2312" w:cs="仿宋_GB2312" w:eastAsia="仿宋_GB2312"/>
              </w:rPr>
              <w:t>采购包5：350,000.00元</w:t>
            </w:r>
          </w:p>
          <w:p>
            <w:pPr>
              <w:pStyle w:val="null3"/>
            </w:pPr>
            <w:r>
              <w:rPr>
                <w:rFonts w:ascii="仿宋_GB2312" w:hAnsi="仿宋_GB2312" w:cs="仿宋_GB2312" w:eastAsia="仿宋_GB2312"/>
              </w:rPr>
              <w:t>采购包6：350,000.00元</w:t>
            </w:r>
          </w:p>
          <w:p>
            <w:pPr>
              <w:pStyle w:val="null3"/>
            </w:pPr>
            <w:r>
              <w:rPr>
                <w:rFonts w:ascii="仿宋_GB2312" w:hAnsi="仿宋_GB2312" w:cs="仿宋_GB2312" w:eastAsia="仿宋_GB2312"/>
              </w:rPr>
              <w:t>采购包7：350,000.00元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采购包4保证金金额：3,000.00元</w:t>
            </w:r>
          </w:p>
          <w:p>
            <w:pPr>
              <w:pStyle w:val="null3"/>
            </w:pPr>
            <w:r>
              <w:rPr>
                <w:rFonts w:ascii="仿宋_GB2312" w:hAnsi="仿宋_GB2312" w:cs="仿宋_GB2312" w:eastAsia="仿宋_GB2312"/>
              </w:rPr>
              <w:t>采购包5保证金金额：3,000.00元</w:t>
            </w:r>
          </w:p>
          <w:p>
            <w:pPr>
              <w:pStyle w:val="null3"/>
            </w:pPr>
            <w:r>
              <w:rPr>
                <w:rFonts w:ascii="仿宋_GB2312" w:hAnsi="仿宋_GB2312" w:cs="仿宋_GB2312" w:eastAsia="仿宋_GB2312"/>
              </w:rPr>
              <w:t>采购包6保证金金额：3,000.00元</w:t>
            </w:r>
          </w:p>
          <w:p>
            <w:pPr>
              <w:pStyle w:val="null3"/>
            </w:pPr>
            <w:r>
              <w:rPr>
                <w:rFonts w:ascii="仿宋_GB2312" w:hAnsi="仿宋_GB2312" w:cs="仿宋_GB2312" w:eastAsia="仿宋_GB2312"/>
              </w:rPr>
              <w:t>采购包7保证金金额：3,000.00元</w:t>
            </w:r>
          </w:p>
          <w:p>
            <w:pPr>
              <w:pStyle w:val="null3"/>
            </w:pPr>
            <w:r>
              <w:rPr>
                <w:rFonts w:ascii="仿宋_GB2312" w:hAnsi="仿宋_GB2312" w:cs="仿宋_GB2312" w:eastAsia="仿宋_GB2312"/>
              </w:rPr>
              <w:t>采购包8保证金金额：3,000.00元</w:t>
            </w:r>
          </w:p>
          <w:p>
            <w:pPr>
              <w:pStyle w:val="null3"/>
            </w:pPr>
            <w:r>
              <w:rPr>
                <w:rFonts w:ascii="仿宋_GB2312" w:hAnsi="仿宋_GB2312" w:cs="仿宋_GB2312" w:eastAsia="仿宋_GB2312"/>
              </w:rPr>
              <w:t>采购包9保证金金额：3,000.00元</w:t>
            </w:r>
          </w:p>
          <w:p>
            <w:pPr>
              <w:pStyle w:val="null3"/>
            </w:pPr>
            <w:r>
              <w:rPr>
                <w:rFonts w:ascii="仿宋_GB2312" w:hAnsi="仿宋_GB2312" w:cs="仿宋_GB2312" w:eastAsia="仿宋_GB2312"/>
              </w:rPr>
              <w:t>采购包10保证金金额：3,000.00元</w:t>
            </w:r>
          </w:p>
          <w:p>
            <w:pPr>
              <w:pStyle w:val="null3"/>
            </w:pPr>
            <w:r>
              <w:rPr>
                <w:rFonts w:ascii="仿宋_GB2312" w:hAnsi="仿宋_GB2312" w:cs="仿宋_GB2312" w:eastAsia="仿宋_GB2312"/>
              </w:rPr>
              <w:t>采购包11保证金金额：3,000.00元</w:t>
            </w:r>
          </w:p>
          <w:p>
            <w:pPr>
              <w:pStyle w:val="null3"/>
            </w:pPr>
            <w:r>
              <w:rPr>
                <w:rFonts w:ascii="仿宋_GB2312" w:hAnsi="仿宋_GB2312" w:cs="仿宋_GB2312" w:eastAsia="仿宋_GB2312"/>
              </w:rPr>
              <w:t>采购包12保证金金额：3,000.00元</w:t>
            </w:r>
          </w:p>
          <w:p>
            <w:pPr>
              <w:pStyle w:val="null3"/>
            </w:pPr>
            <w:r>
              <w:rPr>
                <w:rFonts w:ascii="仿宋_GB2312" w:hAnsi="仿宋_GB2312" w:cs="仿宋_GB2312" w:eastAsia="仿宋_GB2312"/>
              </w:rPr>
              <w:t>采购包13保证金金额：3,000.00元</w:t>
            </w:r>
          </w:p>
          <w:p>
            <w:pPr>
              <w:pStyle w:val="null3"/>
            </w:pPr>
            <w:r>
              <w:rPr>
                <w:rFonts w:ascii="仿宋_GB2312" w:hAnsi="仿宋_GB2312" w:cs="仿宋_GB2312" w:eastAsia="仿宋_GB2312"/>
              </w:rPr>
              <w:t>采购包14保证金金额：3,000.00元</w:t>
            </w:r>
          </w:p>
          <w:p>
            <w:pPr>
              <w:pStyle w:val="null3"/>
            </w:pPr>
            <w:r>
              <w:rPr>
                <w:rFonts w:ascii="仿宋_GB2312" w:hAnsi="仿宋_GB2312" w:cs="仿宋_GB2312" w:eastAsia="仿宋_GB2312"/>
              </w:rPr>
              <w:t>采购包15保证金金额：3,000.00元</w:t>
            </w:r>
          </w:p>
          <w:p>
            <w:pPr>
              <w:pStyle w:val="null3"/>
            </w:pPr>
            <w:r>
              <w:rPr>
                <w:rFonts w:ascii="仿宋_GB2312" w:hAnsi="仿宋_GB2312" w:cs="仿宋_GB2312" w:eastAsia="仿宋_GB2312"/>
              </w:rPr>
              <w:t>采购包16保证金金额：3,000.00元</w:t>
            </w:r>
          </w:p>
          <w:p>
            <w:pPr>
              <w:pStyle w:val="null3"/>
            </w:pPr>
            <w:r>
              <w:rPr>
                <w:rFonts w:ascii="仿宋_GB2312" w:hAnsi="仿宋_GB2312" w:cs="仿宋_GB2312" w:eastAsia="仿宋_GB2312"/>
              </w:rPr>
              <w:t>采购包17保证金金额：3,000.00元</w:t>
            </w:r>
          </w:p>
          <w:p>
            <w:pPr>
              <w:pStyle w:val="null3"/>
            </w:pPr>
            <w:r>
              <w:rPr>
                <w:rFonts w:ascii="仿宋_GB2312" w:hAnsi="仿宋_GB2312" w:cs="仿宋_GB2312" w:eastAsia="仿宋_GB2312"/>
              </w:rPr>
              <w:t>采购包18保证金金额：3,000.00元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开户银行：招商银行西安分行营业部（保证金缴纳备注项目编号后四位及包号）</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招标代理服务费的收取参照国家计委颁布的《招标代理服务收费管理暂行办法》（计价格[2002]1980号）和（发改办价格[2003]857号），按照每包预算计算，并乘以0.775。每包定额收取4068元。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西安科技大学非学历继续教育培训的教学质量，适应新时代干部培训、企业研修及专业技术等人才培养的多元化需求，本项目旨在通过公开招标方式，按不同业务类别择优选择一批具有丰富经验和优质资源的培训机构，为学校承接的各类培训项目提供相匹配的全流程或模块化教学服务及配套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党政干部及公务员培训服务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企业经营管理人员培训服务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工程技术领域专业技术人员继续教育服务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国际合作与交流培训服务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碳达峰碳中和与能源转型专题培训服务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智慧矿山与绿色开采专业培训服务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煤炭清洁高效利用与煤化工专题培训服务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标的名称：党政干部及公务员培训服务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标的名称：企业经营管理人员培训服务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标的名称：工程技术领域专业技术人员继续教育服务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标的名称：国际合作与交流培训服务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标的名称：碳达峰碳中和与能源转型专题培训服务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标的名称：智慧矿山与绿色开采专业培训服务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标的名称：煤炭清洁高效利用与煤化工专题培训服务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1.核心服务范围</w:t>
            </w:r>
          </w:p>
          <w:p>
            <w:pPr>
              <w:pStyle w:val="null3"/>
            </w:pPr>
            <w:r>
              <w:rPr>
                <w:rFonts w:ascii="仿宋_GB2312" w:hAnsi="仿宋_GB2312" w:cs="仿宋_GB2312" w:eastAsia="仿宋_GB2312"/>
              </w:rPr>
              <w:t>乙方为甲方非学历继续教育培训项目提供全流程教学服务，具体包括：</w:t>
            </w:r>
          </w:p>
          <w:p>
            <w:pPr>
              <w:pStyle w:val="null3"/>
            </w:pPr>
            <w:r>
              <w:rPr>
                <w:rFonts w:ascii="仿宋_GB2312" w:hAnsi="仿宋_GB2312" w:cs="仿宋_GB2312" w:eastAsia="仿宋_GB2312"/>
              </w:rPr>
              <w:t>（1）培训前咨询服务：需求调研（精准对接委托方及学员培训需求）、培训方案定制（含课程体系设计、培训形式规划）、师资推荐与对接（匹配项目需求的优质师资）、提供培训预算编制专业建议。</w:t>
            </w:r>
          </w:p>
          <w:p>
            <w:pPr>
              <w:pStyle w:val="null3"/>
            </w:pPr>
            <w:r>
              <w:rPr>
                <w:rFonts w:ascii="仿宋_GB2312" w:hAnsi="仿宋_GB2312" w:cs="仿宋_GB2312" w:eastAsia="仿宋_GB2312"/>
              </w:rPr>
              <w:t>（2）培训中会务服务：教学场地租赁与现场管理、学员住宿与餐饮统筹安排、授课师资全程接待、教学设备与资料准备（含物料制作、分发）、开班与结业仪式的策划组织、学员日常考勤与纪律管理、培训现场突发情况的应急处理。</w:t>
            </w:r>
          </w:p>
          <w:p>
            <w:pPr>
              <w:pStyle w:val="null3"/>
            </w:pPr>
            <w:r>
              <w:rPr>
                <w:rFonts w:ascii="仿宋_GB2312" w:hAnsi="仿宋_GB2312" w:cs="仿宋_GB2312" w:eastAsia="仿宋_GB2312"/>
              </w:rPr>
              <w:t>（3）培训后延伸服务：对学员学习效果进行多维度评估（含考试、测评、调研等）、撰写培训总结报告（含数据统计、效果分析、改进建议）、对培训档案进行系统化整理（含电子档及纸质档）、对后期培训需求进行持续跟进与对接。</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（1）整体服务：严格遵循西安科技大学非学历继续教育的相关规定，按照学校与委托方确定的培训方案执行，服务过程做到规范化、标准化、精细化。</w:t>
            </w:r>
          </w:p>
          <w:p>
            <w:pPr>
              <w:pStyle w:val="null3"/>
            </w:pPr>
            <w:r>
              <w:rPr>
                <w:rFonts w:ascii="仿宋_GB2312" w:hAnsi="仿宋_GB2312" w:cs="仿宋_GB2312" w:eastAsia="仿宋_GB2312"/>
              </w:rPr>
              <w:t>（2）场地与食宿：教学场地需满足培训规模及课程需求，配备完善的教学设备（投影仪、音响、网络等）；学员住宿与餐饮需符合卫生、安全标准，根据培训项目定位合理选择，提前向学校提供场地或酒店实景资料及报价。</w:t>
            </w:r>
          </w:p>
          <w:p>
            <w:pPr>
              <w:pStyle w:val="null3"/>
            </w:pPr>
            <w:r>
              <w:rPr>
                <w:rFonts w:ascii="仿宋_GB2312" w:hAnsi="仿宋_GB2312" w:cs="仿宋_GB2312" w:eastAsia="仿宋_GB2312"/>
              </w:rPr>
              <w:t>（3）物料与档案：培训物料制作需保证质量，内容准确、排版规范；培训档案需做到资料完整、分类清晰，包括培训方案、师资资料、学员信息、考勤记录、评估结果、总结报告等。纸质档案需装订成册，电子档案需备份存档，按学校要求移交。</w:t>
            </w:r>
          </w:p>
          <w:p>
            <w:pPr>
              <w:pStyle w:val="null3"/>
            </w:pPr>
            <w:r>
              <w:rPr>
                <w:rFonts w:ascii="仿宋_GB2312" w:hAnsi="仿宋_GB2312" w:cs="仿宋_GB2312" w:eastAsia="仿宋_GB2312"/>
              </w:rPr>
              <w:t>（4）服务态度：服务团队须具备良好的职业素养，全程热情、耐心、高效地响应学校及学员的需求，及时解决各类问题。</w:t>
            </w:r>
          </w:p>
          <w:p>
            <w:pPr>
              <w:pStyle w:val="null3"/>
            </w:pPr>
            <w:r>
              <w:rPr>
                <w:rFonts w:ascii="仿宋_GB2312" w:hAnsi="仿宋_GB2312" w:cs="仿宋_GB2312" w:eastAsia="仿宋_GB2312"/>
              </w:rPr>
              <w:t>3.服务效率</w:t>
            </w:r>
          </w:p>
          <w:p>
            <w:pPr>
              <w:pStyle w:val="null3"/>
            </w:pPr>
            <w:r>
              <w:rPr>
                <w:rFonts w:ascii="仿宋_GB2312" w:hAnsi="仿宋_GB2312" w:cs="仿宋_GB2312" w:eastAsia="仿宋_GB2312"/>
              </w:rPr>
              <w:t>（1）需求响应：接到学校培训服务需求后，需在2 个工作日内完成初步需求调研，3 个工作日内提交定制化培训服务方案及预算建议。</w:t>
            </w:r>
          </w:p>
          <w:p>
            <w:pPr>
              <w:pStyle w:val="null3"/>
            </w:pPr>
            <w:r>
              <w:rPr>
                <w:rFonts w:ascii="仿宋_GB2312" w:hAnsi="仿宋_GB2312" w:cs="仿宋_GB2312" w:eastAsia="仿宋_GB2312"/>
              </w:rPr>
              <w:t>（2）筹备实施：培训服务方案确认后，根据项目时间要求，高效完成场地、师资、物料等各项筹备工作。常规培训项目筹备周期不超过5个工作日，紧急项目按学校指定时间完成筹备。</w:t>
            </w:r>
          </w:p>
          <w:p>
            <w:pPr>
              <w:pStyle w:val="null3"/>
            </w:pPr>
            <w:r>
              <w:rPr>
                <w:rFonts w:ascii="仿宋_GB2312" w:hAnsi="仿宋_GB2312" w:cs="仿宋_GB2312" w:eastAsia="仿宋_GB2312"/>
              </w:rPr>
              <w:t>（3）问题处理：培训过程中出现各类问题，需即时响应。一般问题在1小时内解决，复杂问题需制定解决方案并向学校报备，在24小时内妥善处理。</w:t>
            </w:r>
          </w:p>
          <w:p>
            <w:pPr>
              <w:pStyle w:val="null3"/>
            </w:pPr>
            <w:r>
              <w:rPr>
                <w:rFonts w:ascii="仿宋_GB2312" w:hAnsi="仿宋_GB2312" w:cs="仿宋_GB2312" w:eastAsia="仿宋_GB2312"/>
              </w:rPr>
              <w:t>（4）后续服务：培训结束后，需在5个工作日内完成学习效果评估，7个工作日内提交培训总结报告及整理完毕的培训档案。</w:t>
            </w:r>
          </w:p>
          <w:p>
            <w:pPr>
              <w:pStyle w:val="null3"/>
            </w:pPr>
            <w:r>
              <w:rPr>
                <w:rFonts w:ascii="仿宋_GB2312" w:hAnsi="仿宋_GB2312" w:cs="仿宋_GB2312" w:eastAsia="仿宋_GB2312"/>
              </w:rPr>
              <w:t>4.技术保障</w:t>
            </w:r>
            <w:r>
              <w:br/>
            </w:r>
            <w:r>
              <w:rPr>
                <w:rFonts w:ascii="仿宋_GB2312" w:hAnsi="仿宋_GB2312" w:cs="仿宋_GB2312" w:eastAsia="仿宋_GB2312"/>
              </w:rPr>
              <w:t xml:space="preserve">     （1）供应商须具备基础的信息化服务能力，能提供线上培训辅助服务（如线上考勤、线上测评、学习资料线上分发等），支持与学校现有培训管理系统的简易对接。</w:t>
            </w:r>
          </w:p>
          <w:p>
            <w:pPr>
              <w:pStyle w:val="null3"/>
            </w:pPr>
            <w:r>
              <w:rPr>
                <w:rFonts w:ascii="仿宋_GB2312" w:hAnsi="仿宋_GB2312" w:cs="仿宋_GB2312" w:eastAsia="仿宋_GB2312"/>
              </w:rPr>
              <w:t>（2）应保障培训过程中教学设备、网络系统的正常运行，配备专业的技术人员，现场提供技术支持，及时排查设备、网络故障。</w:t>
            </w:r>
          </w:p>
          <w:p>
            <w:pPr>
              <w:pStyle w:val="null3"/>
            </w:pPr>
            <w:r>
              <w:rPr>
                <w:rFonts w:ascii="仿宋_GB2312" w:hAnsi="仿宋_GB2312" w:cs="仿宋_GB2312" w:eastAsia="仿宋_GB2312"/>
              </w:rPr>
              <w:t>（3）应做好培训相关数据、资料的信息化存储与安全保障，建立数据备份机制，防止信息泄露、丢失，严格遵守国家数据安全相关法律法规。</w:t>
            </w:r>
          </w:p>
          <w:p>
            <w:pPr>
              <w:pStyle w:val="null3"/>
            </w:pPr>
            <w:r>
              <w:rPr>
                <w:rFonts w:ascii="仿宋_GB2312" w:hAnsi="仿宋_GB2312" w:cs="仿宋_GB2312" w:eastAsia="仿宋_GB2312"/>
              </w:rPr>
              <w:t>5.具体管理要求</w:t>
            </w:r>
          </w:p>
          <w:p>
            <w:pPr>
              <w:pStyle w:val="null3"/>
            </w:pPr>
            <w:r>
              <w:rPr>
                <w:rFonts w:ascii="仿宋_GB2312" w:hAnsi="仿宋_GB2312" w:cs="仿宋_GB2312" w:eastAsia="仿宋_GB2312"/>
              </w:rPr>
              <w:t>（1）合规经营：服务过程中严格遵守国家税收、劳动保障、安全生产、食品安全等相关法律法规，若因供应商自身违规操作产生的一切法律责任、经济损失，均由供应商自行承担。</w:t>
            </w:r>
          </w:p>
          <w:p>
            <w:pPr>
              <w:pStyle w:val="null3"/>
            </w:pPr>
            <w:r>
              <w:rPr>
                <w:rFonts w:ascii="仿宋_GB2312" w:hAnsi="仿宋_GB2312" w:cs="仿宋_GB2312" w:eastAsia="仿宋_GB2312"/>
              </w:rPr>
              <w:t>（2）价格透明：供应商提供的各项服务报价需真实、透明、合理，明确各项服务的收费标准，无隐形消费，报价需经学校审核确认后方可执行，不得擅自提高收费标准。</w:t>
            </w:r>
          </w:p>
          <w:p>
            <w:pPr>
              <w:pStyle w:val="null3"/>
            </w:pPr>
            <w:r>
              <w:rPr>
                <w:rFonts w:ascii="仿宋_GB2312" w:hAnsi="仿宋_GB2312" w:cs="仿宋_GB2312" w:eastAsia="仿宋_GB2312"/>
              </w:rPr>
              <w:t>（3）应急保障：制定完善的培训现场应急预案，涵盖突发医疗事件、消防安全事件、设备故障、恶劣天气等各类情况，配备应急物资（急救包、消防器材等），定期组织团队开展应急演练。</w:t>
            </w:r>
          </w:p>
          <w:p>
            <w:pPr>
              <w:pStyle w:val="null3"/>
            </w:pPr>
            <w:r>
              <w:rPr>
                <w:rFonts w:ascii="仿宋_GB2312" w:hAnsi="仿宋_GB2312" w:cs="仿宋_GB2312" w:eastAsia="仿宋_GB2312"/>
              </w:rPr>
              <w:t>（4）品牌维护：自觉维护学校的品牌形象，不得在服务过程中做出有损学校声誉的行为，若因供应商行为导致学校品牌受损，学校有权终止合作并要求赔偿。</w:t>
            </w:r>
          </w:p>
          <w:p>
            <w:pPr>
              <w:pStyle w:val="null3"/>
            </w:pPr>
            <w:r>
              <w:rPr>
                <w:rFonts w:ascii="仿宋_GB2312" w:hAnsi="仿宋_GB2312" w:cs="仿宋_GB2312" w:eastAsia="仿宋_GB2312"/>
              </w:rPr>
              <w:t>（5）资料报备：供应商需按学校要求，及时报备培训服务过程中的各类资料（师资资料、场地资料、预算资料、培训过程资料等），接受学校的监督与检查。</w:t>
            </w:r>
          </w:p>
          <w:p>
            <w:pPr>
              <w:pStyle w:val="null3"/>
            </w:pPr>
            <w:r>
              <w:rPr>
                <w:rFonts w:ascii="仿宋_GB2312" w:hAnsi="仿宋_GB2312" w:cs="仿宋_GB2312" w:eastAsia="仿宋_GB2312"/>
              </w:rPr>
              <w:t>6.人员安排</w:t>
            </w:r>
          </w:p>
          <w:p>
            <w:pPr>
              <w:pStyle w:val="null3"/>
            </w:pPr>
            <w:r>
              <w:rPr>
                <w:rFonts w:ascii="仿宋_GB2312" w:hAnsi="仿宋_GB2312" w:cs="仿宋_GB2312" w:eastAsia="仿宋_GB2312"/>
              </w:rPr>
              <w:t>（1）供应商需为每个培训项目配备专属项目负责人，项目负责人须具备1年及以上培训项目管理经验，全程对接学校，负责项目的整体统筹、协调与执行，保持 24 小时通信畅通。</w:t>
            </w:r>
          </w:p>
          <w:p>
            <w:pPr>
              <w:pStyle w:val="null3"/>
            </w:pPr>
            <w:r>
              <w:rPr>
                <w:rFonts w:ascii="仿宋_GB2312" w:hAnsi="仿宋_GB2312" w:cs="仿宋_GB2312" w:eastAsia="仿宋_GB2312"/>
              </w:rPr>
              <w:t>（2）根据培训项目规模配备相应的服务人员，包括会务人员、教学辅助人员、技术人员等，50人及以下培训项目服务人员不少于2名，50人以上培训项目按每增加30人至少增配1名服务人员的标准执行。</w:t>
            </w:r>
          </w:p>
          <w:p>
            <w:pPr>
              <w:pStyle w:val="null3"/>
            </w:pPr>
            <w:r>
              <w:rPr>
                <w:rFonts w:ascii="仿宋_GB2312" w:hAnsi="仿宋_GB2312" w:cs="仿宋_GB2312" w:eastAsia="仿宋_GB2312"/>
              </w:rPr>
              <w:t>（3）所有服务人员需经专业培训后上岗，具备相应的岗位能力和职业素养，服务过程中得体着装、规范用语。</w:t>
            </w:r>
          </w:p>
          <w:p>
            <w:pPr>
              <w:pStyle w:val="null3"/>
            </w:pPr>
            <w:r>
              <w:rPr>
                <w:rFonts w:ascii="仿宋_GB2312" w:hAnsi="仿宋_GB2312" w:cs="仿宋_GB2312" w:eastAsia="仿宋_GB2312"/>
              </w:rPr>
              <w:t>（4）供应商需向学校提供服务团队成员的基本信息、工作经验等资料，若更换团队核心成员，需提前3个工作日向学校报备。</w:t>
            </w:r>
          </w:p>
          <w:p>
            <w:pPr>
              <w:pStyle w:val="null3"/>
            </w:pPr>
            <w:r>
              <w:rPr>
                <w:rFonts w:ascii="仿宋_GB2312" w:hAnsi="仿宋_GB2312" w:cs="仿宋_GB2312" w:eastAsia="仿宋_GB2312"/>
              </w:rPr>
              <w:t>7.报价方式：按单价总和报价，单位为：元/人/天。</w:t>
            </w:r>
          </w:p>
          <w:p>
            <w:pPr>
              <w:pStyle w:val="null3"/>
            </w:pPr>
            <w:r>
              <w:rPr>
                <w:rFonts w:ascii="仿宋_GB2312" w:hAnsi="仿宋_GB2312" w:cs="仿宋_GB2312" w:eastAsia="仿宋_GB2312"/>
              </w:rPr>
              <w:t>供应商须对以下三类服务分别报出单价，并汇总形成单价总和，作为评审报价依据：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服务类别</w:t>
                  </w:r>
                </w:p>
              </w:tc>
              <w:tc>
                <w:tcPr>
                  <w:tcW w:type="dxa" w:w="638"/>
                </w:tcPr>
                <w:p>
                  <w:pPr>
                    <w:pStyle w:val="null3"/>
                  </w:pPr>
                  <w:r>
                    <w:rPr>
                      <w:rFonts w:ascii="仿宋_GB2312" w:hAnsi="仿宋_GB2312" w:cs="仿宋_GB2312" w:eastAsia="仿宋_GB2312"/>
                    </w:rPr>
                    <w:t>服务内容说明</w:t>
                  </w:r>
                </w:p>
              </w:tc>
              <w:tc>
                <w:tcPr>
                  <w:tcW w:type="dxa" w:w="638"/>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（元/人/天）</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培训现场会务服务</w:t>
                  </w:r>
                </w:p>
              </w:tc>
              <w:tc>
                <w:tcPr>
                  <w:tcW w:type="dxa" w:w="638"/>
                </w:tcPr>
                <w:p>
                  <w:pPr>
                    <w:pStyle w:val="null3"/>
                  </w:pPr>
                  <w:r>
                    <w:rPr>
                      <w:rFonts w:ascii="仿宋_GB2312" w:hAnsi="仿宋_GB2312" w:cs="仿宋_GB2312" w:eastAsia="仿宋_GB2312"/>
                    </w:rPr>
                    <w:t>负责培训期间的教学现场管理、学员食宿统筹、师资接待、设备资料准备、开班结业仪式组织、考勤纪律管理、现场应急处理等</w:t>
                  </w:r>
                </w:p>
              </w:tc>
              <w:tc>
                <w:tcPr>
                  <w:tcW w:type="dxa" w:w="638"/>
                </w:tcPr>
                <w:p>
                  <w:pPr>
                    <w:pStyle w:val="null3"/>
                  </w:pPr>
                  <w:r>
                    <w:rPr>
                      <w:rFonts w:ascii="仿宋_GB2312" w:hAnsi="仿宋_GB2312" w:cs="仿宋_GB2312" w:eastAsia="仿宋_GB2312"/>
                    </w:rPr>
                    <w:t>500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移动课堂线路策划及带队管理服务</w:t>
                  </w:r>
                </w:p>
              </w:tc>
              <w:tc>
                <w:tcPr>
                  <w:tcW w:type="dxa" w:w="638"/>
                </w:tcPr>
                <w:p>
                  <w:pPr>
                    <w:pStyle w:val="null3"/>
                  </w:pPr>
                  <w:r>
                    <w:rPr>
                      <w:rFonts w:ascii="仿宋_GB2312" w:hAnsi="仿宋_GB2312" w:cs="仿宋_GB2312" w:eastAsia="仿宋_GB2312"/>
                    </w:rPr>
                    <w:t>负责移动课堂线路设计、现场讲解、组织协调、安全提醒、秩序维护等。</w:t>
                  </w:r>
                </w:p>
              </w:tc>
              <w:tc>
                <w:tcPr>
                  <w:tcW w:type="dxa" w:w="638"/>
                </w:tcPr>
                <w:p>
                  <w:pPr>
                    <w:pStyle w:val="null3"/>
                  </w:pPr>
                  <w:r>
                    <w:rPr>
                      <w:rFonts w:ascii="仿宋_GB2312" w:hAnsi="仿宋_GB2312" w:cs="仿宋_GB2312" w:eastAsia="仿宋_GB2312"/>
                    </w:rPr>
                    <w:t>300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其他教学服务</w:t>
                  </w:r>
                </w:p>
              </w:tc>
              <w:tc>
                <w:tcPr>
                  <w:tcW w:type="dxa" w:w="638"/>
                </w:tcPr>
                <w:p>
                  <w:pPr>
                    <w:pStyle w:val="null3"/>
                  </w:pPr>
                  <w:r>
                    <w:rPr>
                      <w:rFonts w:ascii="仿宋_GB2312" w:hAnsi="仿宋_GB2312" w:cs="仿宋_GB2312" w:eastAsia="仿宋_GB2312"/>
                    </w:rPr>
                    <w:t>涵盖培训前咨询服务（需求调研、方案定制、师资推荐、预算建议等）及培训后延伸服务（效果评估、总结报告、档案整理、后续跟进等）。</w:t>
                  </w:r>
                </w:p>
              </w:tc>
              <w:tc>
                <w:tcPr>
                  <w:tcW w:type="dxa" w:w="638"/>
                </w:tcPr>
                <w:p>
                  <w:pPr>
                    <w:pStyle w:val="null3"/>
                  </w:pPr>
                  <w:r>
                    <w:rPr>
                      <w:rFonts w:ascii="仿宋_GB2312" w:hAnsi="仿宋_GB2312" w:cs="仿宋_GB2312" w:eastAsia="仿宋_GB2312"/>
                    </w:rPr>
                    <w:t>700</w:t>
                  </w:r>
                </w:p>
              </w:tc>
            </w:tr>
          </w:tbl>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1.以上三类服务已涵盖招标文件“服务要求”中规定的全部服务内容（培训前咨询、培训中会务、培训后延伸），供应商不再就上述服务范围以外的内容另行计费。</w:t>
            </w:r>
          </w:p>
          <w:p>
            <w:pPr>
              <w:pStyle w:val="null3"/>
            </w:pPr>
            <w:r>
              <w:rPr>
                <w:rFonts w:ascii="仿宋_GB2312" w:hAnsi="仿宋_GB2312" w:cs="仿宋_GB2312" w:eastAsia="仿宋_GB2312"/>
              </w:rPr>
              <w:t>2.每个工作日工作时长不少于8小时，节假日、周末不另外支付加班费用。</w:t>
            </w:r>
          </w:p>
          <w:p>
            <w:pPr>
              <w:pStyle w:val="null3"/>
            </w:pPr>
            <w:r>
              <w:rPr>
                <w:rFonts w:ascii="仿宋_GB2312" w:hAnsi="仿宋_GB2312" w:cs="仿宋_GB2312" w:eastAsia="仿宋_GB2312"/>
              </w:rPr>
              <w:t>3.项目服务期间产生的城市间交通费、餐费、住宿费由甲方承担。</w:t>
            </w:r>
          </w:p>
          <w:p>
            <w:pPr>
              <w:pStyle w:val="null3"/>
            </w:pPr>
            <w:r>
              <w:rPr>
                <w:rFonts w:ascii="仿宋_GB2312" w:hAnsi="仿宋_GB2312" w:cs="仿宋_GB2312" w:eastAsia="仿宋_GB2312"/>
              </w:rPr>
              <w:t>付款方式：一项一结，按单个培训项目独立结算。</w:t>
            </w:r>
          </w:p>
          <w:p>
            <w:pPr>
              <w:pStyle w:val="null3"/>
            </w:pPr>
            <w:r>
              <w:rPr>
                <w:rFonts w:ascii="仿宋_GB2312" w:hAnsi="仿宋_GB2312" w:cs="仿宋_GB2312" w:eastAsia="仿宋_GB2312"/>
              </w:rPr>
              <w:t>8.结算依据：结算金额=实际培训天数×服务人员数量×对应类别单价</w:t>
            </w:r>
          </w:p>
          <w:p>
            <w:pPr>
              <w:pStyle w:val="null3"/>
            </w:pPr>
            <w:r>
              <w:rPr>
                <w:rFonts w:ascii="仿宋_GB2312" w:hAnsi="仿宋_GB2312" w:cs="仿宋_GB2312" w:eastAsia="仿宋_GB2312"/>
              </w:rPr>
              <w:t>培训天数：指培训项目实际实施的日历天数（以甲方确认的培训日程安排为准）。</w:t>
            </w:r>
          </w:p>
          <w:p>
            <w:pPr>
              <w:pStyle w:val="null3"/>
            </w:pPr>
            <w:r>
              <w:rPr>
                <w:rFonts w:ascii="仿宋_GB2312" w:hAnsi="仿宋_GB2312" w:cs="仿宋_GB2312" w:eastAsia="仿宋_GB2312"/>
              </w:rPr>
              <w:t>服务人员数量：以甲方确认的服务人员配置方案为准。</w:t>
            </w:r>
          </w:p>
          <w:p>
            <w:pPr>
              <w:pStyle w:val="null3"/>
            </w:pPr>
            <w:r>
              <w:rPr>
                <w:rFonts w:ascii="仿宋_GB2312" w:hAnsi="仿宋_GB2312" w:cs="仿宋_GB2312" w:eastAsia="仿宋_GB2312"/>
              </w:rPr>
              <w:t>付款流程：培训项目交付完成后，乙方提交《教学服务工作计量表》，列明培训天数、服务人员配置及对应服务类别。经双方书面确认工作量后，乙方向甲方开具合法有效的增值税发票及项目工作量清单。甲方在收到发票及清单后30个工作日内向乙方支付相应服务费用。</w:t>
            </w:r>
          </w:p>
          <w:p>
            <w:pPr>
              <w:pStyle w:val="null3"/>
            </w:pPr>
            <w:r>
              <w:rPr>
                <w:rFonts w:ascii="仿宋_GB2312" w:hAnsi="仿宋_GB2312" w:cs="仿宋_GB2312" w:eastAsia="仿宋_GB2312"/>
              </w:rPr>
              <w:t>特别说明：培训前咨询服务、培训后延伸服务等非现场工作内容，已包含在“其他教学服务”单价中，不再单独计算天数或额外付费。如培训项目出现延期、变更、取消等情况，双方应就实际发生的服务内容另行协商确认结算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服务期限为自合作协议签订之日起3年；服务期内，学校将对供应商进行动态考核，考核合格者可继续履行协议，不合格者将从被剔除。</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培训项目交付完成后，乙方提交《教学服务工作计量表》，列明培训天数、服务人员配置及对应服务类别。经双方书面确认工作量后，乙方向甲方开具合法有效的增值税发票及项目工作量清单。甲方在收到发票及清单后10个工作日内向乙方支付相应服务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其他备注说明：本项目“兼投不兼中”，供应商可以投多个包，但最多只能中一个包。按照从1到18包的评审顺序，若供应商为多个包排序第一的中标候选人，前一包排序第一的中标候选人不做为后继包的中标候选人推荐。本次招标为二次招标，其中现采购包4（国际合作与交流培训服务）为原采购包6；现采购包5(碳达峰碳中和与能源转型专题培训)为原合采购包7；现采购包6（智慧矿山与绿色开采专业培训服务）为原采购包10；现采购包7（煤炭清洁高效利用与煤化工专题培训服务）为原采购包16。 四、中标供应商在领取中标通知书时应提供与线上投标文件一致的纸质版文件（一正一副）。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报价唯一，且报价（综合单价合计）不超过各项单价最高限价合计，单项报价不超过各项最高限价。</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评审内容：①培训前咨询服务②培训中会务服务③培训后延伸服务 评审标准：每一项方案内容全面详细、阐述条理清晰详尽、符合本项目5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服务标准</w:t>
            </w:r>
          </w:p>
        </w:tc>
        <w:tc>
          <w:tcPr>
            <w:tcW w:type="dxa" w:w="2492"/>
          </w:tcPr>
          <w:p>
            <w:pPr>
              <w:pStyle w:val="null3"/>
            </w:pPr>
            <w:r>
              <w:rPr>
                <w:rFonts w:ascii="仿宋_GB2312" w:hAnsi="仿宋_GB2312" w:cs="仿宋_GB2312" w:eastAsia="仿宋_GB2312"/>
              </w:rPr>
              <w:t>评审内容：①整体服务②场地与食宿③物料与档案④服务态度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服务效率</w:t>
            </w:r>
          </w:p>
        </w:tc>
        <w:tc>
          <w:tcPr>
            <w:tcW w:type="dxa" w:w="2492"/>
          </w:tcPr>
          <w:p>
            <w:pPr>
              <w:pStyle w:val="null3"/>
            </w:pPr>
            <w:r>
              <w:rPr>
                <w:rFonts w:ascii="仿宋_GB2312" w:hAnsi="仿宋_GB2312" w:cs="仿宋_GB2312" w:eastAsia="仿宋_GB2312"/>
              </w:rPr>
              <w:t>评审内容：①需求响应②筹备实施③问题处理④后续服务 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评审内容：①具备基础的信息化服务能力②保障教学设备、网络系统的正常运行③做好相关数据的存储与安全保障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评审内容：①经营合规②价格透明③应急保障措施④对学校品牌维护⑤相关资料报备 评审标准：每一项方案内容全面详细、阐述条理清晰详尽、符合本项目3分，满分15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评审内容：①服务团队的人员清单及基本信息、工作经验等资料②人员培训方案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评审内容：①针对本项目的服务承诺②增值服务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投标人提供2022年至今完成过同类服务项目的业绩，每提供一个得2分，满分10分，不提供不得分。（提供完整合同复印件，否则不做为评标依据。）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