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版本号：HC-FZB-2026-01720260424001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采暖管道改造</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HC-FZB-2026-017</w:t>
      </w:r>
      <w:r>
        <w:br/>
      </w:r>
      <w:r>
        <w:br/>
      </w:r>
      <w:r>
        <w:br/>
      </w:r>
    </w:p>
    <w:p>
      <w:pPr>
        <w:pStyle w:val="null3"/>
        <w:jc w:val="center"/>
        <w:outlineLvl w:val="2"/>
      </w:pPr>
      <w:r>
        <w:rPr>
          <w:rFonts w:ascii="仿宋_GB2312" w:hAnsi="仿宋_GB2312" w:cs="仿宋_GB2312" w:eastAsia="仿宋_GB2312"/>
          <w:sz w:val="28"/>
          <w:b/>
        </w:rPr>
        <w:t>省财政厅机关后勤服务中心</w:t>
      </w:r>
    </w:p>
    <w:p>
      <w:pPr>
        <w:pStyle w:val="null3"/>
        <w:jc w:val="center"/>
        <w:outlineLvl w:val="2"/>
      </w:pPr>
      <w:r>
        <w:rPr>
          <w:rFonts w:ascii="仿宋_GB2312" w:hAnsi="仿宋_GB2312" w:cs="仿宋_GB2312" w:eastAsia="仿宋_GB2312"/>
          <w:sz w:val="28"/>
          <w:b/>
        </w:rPr>
        <w:t>华春建设工程项目管理有限责任公司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华春建设工程项目管理有限责任公司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省财政厅机关后勤服务中心</w:t>
      </w:r>
      <w:r>
        <w:rPr>
          <w:rFonts w:ascii="仿宋_GB2312" w:hAnsi="仿宋_GB2312" w:cs="仿宋_GB2312" w:eastAsia="仿宋_GB2312"/>
        </w:rPr>
        <w:t>委托，拟对</w:t>
      </w:r>
      <w:r>
        <w:rPr>
          <w:rFonts w:ascii="仿宋_GB2312" w:hAnsi="仿宋_GB2312" w:cs="仿宋_GB2312" w:eastAsia="仿宋_GB2312"/>
        </w:rPr>
        <w:t>采暖管道改造</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HC-FZB-2026-017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采暖管道改造</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本次采购内容为采暖系统改造，共计1个标段（具体内容详见竞争性磋商文件）。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采购包1（采暖管道改造项目）：属于专门面向中小企业采购。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1、营业执照等主体资格证明文件：提供合格有效的法人或者其他组织的营业执照等证明文件，自然人的身份证明；</w:t>
      </w:r>
    </w:p>
    <w:p>
      <w:pPr>
        <w:pStyle w:val="null3"/>
      </w:pPr>
      <w:r>
        <w:rPr>
          <w:rFonts w:ascii="仿宋_GB2312" w:hAnsi="仿宋_GB2312" w:cs="仿宋_GB2312" w:eastAsia="仿宋_GB2312"/>
        </w:rPr>
        <w:t>2、财务状况报告：提供经审计的2024年度或2025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在开标日期前六个月内其开户银行出具的资信证明，以上两种形式的资料提供任何一种即可（分支机构如无法提供财务审计报告，须出具包含分支机构的财务数据的总公司财务审计报告）；事业单位零余额账户提供相应证明</w:t>
      </w:r>
    </w:p>
    <w:p>
      <w:pPr>
        <w:pStyle w:val="null3"/>
      </w:pPr>
      <w:r>
        <w:rPr>
          <w:rFonts w:ascii="仿宋_GB2312" w:hAnsi="仿宋_GB2312" w:cs="仿宋_GB2312" w:eastAsia="仿宋_GB2312"/>
        </w:rPr>
        <w:t>3、社保缴纳证明：提供首次磋商响应文件递交截止时间前6个月内任意一个月的缴纳证明。依法不需要交纳社会保障资金的供应商应提供相关文件证明；</w:t>
      </w:r>
    </w:p>
    <w:p>
      <w:pPr>
        <w:pStyle w:val="null3"/>
      </w:pPr>
      <w:r>
        <w:rPr>
          <w:rFonts w:ascii="仿宋_GB2312" w:hAnsi="仿宋_GB2312" w:cs="仿宋_GB2312" w:eastAsia="仿宋_GB2312"/>
        </w:rPr>
        <w:t>4、税收缴纳证明：提供首次磋商响应文件递交截止时间前6个月内任意一个月的纳税证明或完税证明（任意税种），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5、履行合同承诺函：提供具有履行合同所必需的设备和专业技术能力的承诺函；</w:t>
      </w:r>
    </w:p>
    <w:p>
      <w:pPr>
        <w:pStyle w:val="null3"/>
      </w:pPr>
      <w:r>
        <w:rPr>
          <w:rFonts w:ascii="仿宋_GB2312" w:hAnsi="仿宋_GB2312" w:cs="仿宋_GB2312" w:eastAsia="仿宋_GB2312"/>
        </w:rPr>
        <w:t>6、无重大违法记录书面声明：提供参加政府采购活动前3年内，在经营活动中没有重大违法记录的书面声明；</w:t>
      </w:r>
    </w:p>
    <w:p>
      <w:pPr>
        <w:pStyle w:val="null3"/>
      </w:pPr>
      <w:r>
        <w:rPr>
          <w:rFonts w:ascii="仿宋_GB2312" w:hAnsi="仿宋_GB2312" w:cs="仿宋_GB2312" w:eastAsia="仿宋_GB2312"/>
        </w:rPr>
        <w:t>7、落实政府采购政策需满足的资格要求：本项目专门面向中小企业采购，供应商应为中小微企业或监狱企业或残疾人福利性单位；</w:t>
      </w:r>
    </w:p>
    <w:p>
      <w:pPr>
        <w:pStyle w:val="null3"/>
      </w:pPr>
      <w:r>
        <w:rPr>
          <w:rFonts w:ascii="仿宋_GB2312" w:hAnsi="仿宋_GB2312" w:cs="仿宋_GB2312" w:eastAsia="仿宋_GB2312"/>
        </w:rPr>
        <w:t>8、法定代表人授权委托书：法定代表人直接参加磋商的，须提供法定代表人身份证明及其身份证电子件或扫描件；法定代表人授权他人参加磋商的，须提供法定代表人授权委托书（附法定代表人、被授权人身份证电子件或扫描件）；</w:t>
      </w:r>
    </w:p>
    <w:p>
      <w:pPr>
        <w:pStyle w:val="null3"/>
      </w:pPr>
      <w:r>
        <w:rPr>
          <w:rFonts w:ascii="仿宋_GB2312" w:hAnsi="仿宋_GB2312" w:cs="仿宋_GB2312" w:eastAsia="仿宋_GB2312"/>
        </w:rPr>
        <w:t>9、资质证书：供应商须建筑工程施工总承包三级（或以上）资质且具备有效的安全生产许可证；</w:t>
      </w:r>
    </w:p>
    <w:p>
      <w:pPr>
        <w:pStyle w:val="null3"/>
      </w:pPr>
      <w:r>
        <w:rPr>
          <w:rFonts w:ascii="仿宋_GB2312" w:hAnsi="仿宋_GB2312" w:cs="仿宋_GB2312" w:eastAsia="仿宋_GB2312"/>
        </w:rPr>
        <w:t>10、拟派项目负责人要求：拟派项目负责人资质需具备建筑工程专业二级（含二级）及以上注册建造师证书和有效的安全生产考核合格证（建安B证），且无在建工程（无在建供应商自主承诺）；</w:t>
      </w:r>
    </w:p>
    <w:p>
      <w:pPr>
        <w:pStyle w:val="null3"/>
      </w:pPr>
      <w:r>
        <w:rPr>
          <w:rFonts w:ascii="仿宋_GB2312" w:hAnsi="仿宋_GB2312" w:cs="仿宋_GB2312" w:eastAsia="仿宋_GB2312"/>
        </w:rPr>
        <w:t>11、信用记录声明：供应商不得为“信用中国”网站（www.creditchina.gov.cn）中列入失信被执行人（页面跳转至“中国执行信息公开网”http://zxgk.court.gov.cn/shixin/）和重大税收违法失信主体名单的供应商，不得为中国政府采购网（www.ccgp.gov.cn）政府采购严重违法失信行为记录名单中被财政部门禁止参加政府采购活动的供应商。 提供《供应商信用记录书面声明函》（按格式填写，提供原件）。经查，供应商未被列入“信用中国”网站记录的“失信被执行人”或“重大税收违法失信主体”名单；不处于“中国政府采购网”记录的“政府采购严重违法失信行为记录名单 ”中的禁止参加政府采购活动期间；</w:t>
      </w:r>
    </w:p>
    <w:p>
      <w:pPr>
        <w:pStyle w:val="null3"/>
      </w:pPr>
      <w:r>
        <w:rPr>
          <w:rFonts w:ascii="仿宋_GB2312" w:hAnsi="仿宋_GB2312" w:cs="仿宋_GB2312" w:eastAsia="仿宋_GB2312"/>
        </w:rPr>
        <w:t>12、控股管理关系承诺书：单位负责人为同一人或者存在直接控股、管理关系的供应商，不得参加同一合同下的政府采购活动；</w:t>
      </w:r>
    </w:p>
    <w:p>
      <w:pPr>
        <w:pStyle w:val="null3"/>
      </w:pPr>
      <w:r>
        <w:rPr>
          <w:rFonts w:ascii="仿宋_GB2312" w:hAnsi="仿宋_GB2312" w:cs="仿宋_GB2312" w:eastAsia="仿宋_GB2312"/>
        </w:rPr>
        <w:t>13、本项目不接受联合体响应，不允许分包：供应商提供《非联合体、不分包投标声明》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省财政厅机关后勤服务中心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西安市莲湖区冰窖巷6号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陈科长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029-68936157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华春建设工程项目管理有限责任公司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西安市南二环西段58号成长大厦8楼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张向宁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15309262087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采购包1：2,476,200.00元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有关规定收取。成交供应商在领取《成交通知书》前，须向采购代理机构一次性支付招标代理服务费。 户名：华春建设工程项目管理有限责任公司 开户行：中国银行西安南二环支行 账号：102807336850 备注：项目名称+代理服务费（可简写） 请成交供应商按照要求将服务费汇入以上指定账户，如因自身原因发生错误，产生的不利后果均由供应商自行承担。汇款备注：项目名称+代理服务费（可简写）请成交供应商按照要求将服务费汇入以上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省财政厅机关后勤服务中心</w:t>
      </w:r>
      <w:r>
        <w:rPr>
          <w:rFonts w:ascii="仿宋_GB2312" w:hAnsi="仿宋_GB2312" w:cs="仿宋_GB2312" w:eastAsia="仿宋_GB2312"/>
        </w:rPr>
        <w:t>和</w:t>
      </w:r>
      <w:r>
        <w:rPr>
          <w:rFonts w:ascii="仿宋_GB2312" w:hAnsi="仿宋_GB2312" w:cs="仿宋_GB2312" w:eastAsia="仿宋_GB2312"/>
        </w:rPr>
        <w:t>华春建设工程项目管理有限责任公司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省财政厅机关后勤服务中心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华春建设工程项目管理有限责任公司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省财政厅机关后勤服务中心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华春建设工程项目管理有限责任公司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联系人：张向宁</w:t>
      </w:r>
    </w:p>
    <w:p>
      <w:pPr>
        <w:pStyle w:val="null3"/>
      </w:pPr>
      <w:r>
        <w:rPr>
          <w:rFonts w:ascii="仿宋_GB2312" w:hAnsi="仿宋_GB2312" w:cs="仿宋_GB2312" w:eastAsia="仿宋_GB2312"/>
        </w:rPr>
        <w:t>联系电话：15309262087</w:t>
      </w:r>
    </w:p>
    <w:p>
      <w:pPr>
        <w:pStyle w:val="null3"/>
      </w:pPr>
      <w:r>
        <w:rPr>
          <w:rFonts w:ascii="仿宋_GB2312" w:hAnsi="仿宋_GB2312" w:cs="仿宋_GB2312" w:eastAsia="仿宋_GB2312"/>
        </w:rPr>
        <w:t>地址：西安市南二环西段58号成长大厦8楼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2,476,200.00</w:t>
      </w:r>
    </w:p>
    <w:p>
      <w:pPr>
        <w:pStyle w:val="null3"/>
      </w:pPr>
      <w:r>
        <w:rPr>
          <w:rFonts w:ascii="仿宋_GB2312" w:hAnsi="仿宋_GB2312" w:cs="仿宋_GB2312" w:eastAsia="仿宋_GB2312"/>
        </w:rPr>
        <w:t>采购包最高限价（元）: 2,476,200.00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采暖管道改造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2,476,200.00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标的名称：采暖管道改造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color w:val="000000"/>
              </w:rPr>
              <w:t>一、项目概况</w:t>
            </w:r>
          </w:p>
          <w:p>
            <w:pPr>
              <w:pStyle w:val="null3"/>
              <w:ind w:firstLine="420"/>
              <w:jc w:val="both"/>
            </w:pPr>
            <w:r>
              <w:rPr>
                <w:rFonts w:ascii="仿宋_GB2312" w:hAnsi="仿宋_GB2312" w:cs="仿宋_GB2312" w:eastAsia="仿宋_GB2312"/>
                <w:sz w:val="24"/>
                <w:color w:val="000000"/>
              </w:rPr>
              <w:t>1.建设地点：</w:t>
            </w:r>
            <w:r>
              <w:rPr>
                <w:rFonts w:ascii="仿宋_GB2312" w:hAnsi="仿宋_GB2312" w:cs="仿宋_GB2312" w:eastAsia="仿宋_GB2312"/>
                <w:sz w:val="24"/>
                <w:color w:val="000000"/>
              </w:rPr>
              <w:t>太白南路与南二环交叉口东北角。</w:t>
            </w:r>
          </w:p>
          <w:p>
            <w:pPr>
              <w:pStyle w:val="null3"/>
              <w:ind w:firstLine="420"/>
              <w:jc w:val="both"/>
            </w:pPr>
            <w:r>
              <w:rPr>
                <w:rFonts w:ascii="仿宋_GB2312" w:hAnsi="仿宋_GB2312" w:cs="仿宋_GB2312" w:eastAsia="仿宋_GB2312"/>
                <w:sz w:val="24"/>
                <w:color w:val="000000"/>
              </w:rPr>
              <w:t>2.建设内容：</w:t>
            </w:r>
            <w:r>
              <w:rPr>
                <w:rFonts w:ascii="仿宋_GB2312" w:hAnsi="仿宋_GB2312" w:cs="仿宋_GB2312" w:eastAsia="仿宋_GB2312"/>
                <w:sz w:val="24"/>
                <w:color w:val="000000"/>
              </w:rPr>
              <w:t>单体楼内住户门内采暖竖向管道以及暖气支管道、阀门、保温、支架等进行更换维护，拆除及恢复住户吊顶、地面、墙面</w:t>
            </w:r>
            <w:r>
              <w:rPr>
                <w:rFonts w:ascii="仿宋_GB2312" w:hAnsi="仿宋_GB2312" w:cs="仿宋_GB2312" w:eastAsia="仿宋_GB2312"/>
                <w:sz w:val="24"/>
                <w:color w:val="000000"/>
              </w:rPr>
              <w:t>。</w:t>
            </w:r>
          </w:p>
          <w:p>
            <w:pPr>
              <w:pStyle w:val="null3"/>
              <w:ind w:firstLine="420"/>
              <w:jc w:val="both"/>
            </w:pPr>
            <w:r>
              <w:rPr>
                <w:rFonts w:ascii="仿宋_GB2312" w:hAnsi="仿宋_GB2312" w:cs="仿宋_GB2312" w:eastAsia="仿宋_GB2312"/>
                <w:sz w:val="24"/>
                <w:color w:val="000000"/>
              </w:rPr>
              <w:t>3.需满足的要求:改善居民生活质量，提升人居环境。</w:t>
            </w:r>
          </w:p>
          <w:p>
            <w:pPr>
              <w:pStyle w:val="null3"/>
              <w:jc w:val="both"/>
            </w:pPr>
            <w:r>
              <w:rPr>
                <w:rFonts w:ascii="仿宋_GB2312" w:hAnsi="仿宋_GB2312" w:cs="仿宋_GB2312" w:eastAsia="仿宋_GB2312"/>
                <w:sz w:val="24"/>
                <w:b/>
                <w:color w:val="000000"/>
              </w:rPr>
              <w:t>二、项目最高限价：</w:t>
            </w:r>
            <w:r>
              <w:rPr>
                <w:rFonts w:ascii="仿宋_GB2312" w:hAnsi="仿宋_GB2312" w:cs="仿宋_GB2312" w:eastAsia="仿宋_GB2312"/>
                <w:sz w:val="24"/>
                <w:color w:val="000000"/>
              </w:rPr>
              <w:t>2476200.00</w:t>
            </w:r>
            <w:r>
              <w:rPr>
                <w:rFonts w:ascii="仿宋_GB2312" w:hAnsi="仿宋_GB2312" w:cs="仿宋_GB2312" w:eastAsia="仿宋_GB2312"/>
                <w:sz w:val="24"/>
                <w:color w:val="000000"/>
              </w:rPr>
              <w:t>元</w:t>
            </w:r>
          </w:p>
          <w:p>
            <w:pPr>
              <w:pStyle w:val="null3"/>
              <w:jc w:val="both"/>
            </w:pPr>
            <w:r>
              <w:rPr>
                <w:rFonts w:ascii="仿宋_GB2312" w:hAnsi="仿宋_GB2312" w:cs="仿宋_GB2312" w:eastAsia="仿宋_GB2312"/>
                <w:sz w:val="24"/>
                <w:b/>
                <w:color w:val="000000"/>
              </w:rPr>
              <w:t>三、编制依据</w:t>
            </w:r>
          </w:p>
          <w:p>
            <w:pPr>
              <w:pStyle w:val="null3"/>
              <w:ind w:firstLine="480"/>
              <w:jc w:val="both"/>
            </w:pPr>
            <w:r>
              <w:rPr>
                <w:rFonts w:ascii="仿宋_GB2312" w:hAnsi="仿宋_GB2312" w:cs="仿宋_GB2312" w:eastAsia="仿宋_GB2312"/>
                <w:sz w:val="24"/>
                <w:color w:val="000000"/>
              </w:rPr>
              <w:t>1.《供暖系统改造0921》；</w:t>
            </w:r>
          </w:p>
          <w:p>
            <w:pPr>
              <w:pStyle w:val="null3"/>
              <w:ind w:firstLine="480"/>
              <w:jc w:val="both"/>
            </w:pPr>
            <w:r>
              <w:rPr>
                <w:rFonts w:ascii="仿宋_GB2312" w:hAnsi="仿宋_GB2312" w:cs="仿宋_GB2312" w:eastAsia="仿宋_GB2312"/>
                <w:sz w:val="24"/>
                <w:color w:val="000000"/>
              </w:rPr>
              <w:t>2.《陕西省建设工程费用规则（2025）》、《陕西省建设工程工程量清单</w:t>
            </w:r>
            <w:r>
              <w:rPr>
                <w:rFonts w:ascii="仿宋_GB2312" w:hAnsi="仿宋_GB2312" w:cs="仿宋_GB2312" w:eastAsia="仿宋_GB2312"/>
                <w:sz w:val="24"/>
                <w:color w:val="000000"/>
              </w:rPr>
              <w:t>计价标准（</w:t>
            </w:r>
            <w:r>
              <w:rPr>
                <w:rFonts w:ascii="仿宋_GB2312" w:hAnsi="仿宋_GB2312" w:cs="仿宋_GB2312" w:eastAsia="仿宋_GB2312"/>
                <w:sz w:val="24"/>
                <w:color w:val="000000"/>
              </w:rPr>
              <w:t>2025）</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3.《陕西省房屋建筑与装饰工程消耗量定额（2025）》、《陕西省通用安装工程消耗量定额（2025）》、《陕西省市政工程消耗量定额（2025）》、《陕西省园林绿化工程消耗量定额（2025）》以及配套基价表（2025）；</w:t>
            </w:r>
          </w:p>
          <w:p>
            <w:pPr>
              <w:pStyle w:val="null3"/>
              <w:ind w:firstLine="480"/>
              <w:jc w:val="both"/>
            </w:pPr>
            <w:r>
              <w:rPr>
                <w:rFonts w:ascii="仿宋_GB2312" w:hAnsi="仿宋_GB2312" w:cs="仿宋_GB2312" w:eastAsia="仿宋_GB2312"/>
                <w:sz w:val="24"/>
                <w:color w:val="000000"/>
              </w:rPr>
              <w:t>4.税金执行《陕西省住房和城乡建设厅关于调整陕西省建设工程计价依据的通知》（陕建发〔2019〕45号）；</w:t>
            </w:r>
          </w:p>
          <w:p>
            <w:pPr>
              <w:pStyle w:val="null3"/>
              <w:ind w:firstLine="480"/>
              <w:jc w:val="both"/>
            </w:pPr>
            <w:r>
              <w:rPr>
                <w:rFonts w:ascii="仿宋_GB2312" w:hAnsi="仿宋_GB2312" w:cs="仿宋_GB2312" w:eastAsia="仿宋_GB2312"/>
                <w:sz w:val="24"/>
                <w:color w:val="000000"/>
              </w:rPr>
              <w:t>5.软件采用广联达云计价平台GCCP7.0（7.5000.23.2）；</w:t>
            </w:r>
          </w:p>
          <w:p>
            <w:pPr>
              <w:pStyle w:val="null3"/>
              <w:ind w:firstLine="480"/>
              <w:jc w:val="both"/>
            </w:pPr>
            <w:r>
              <w:rPr>
                <w:rFonts w:ascii="仿宋_GB2312" w:hAnsi="仿宋_GB2312" w:cs="仿宋_GB2312" w:eastAsia="仿宋_GB2312"/>
                <w:sz w:val="24"/>
                <w:color w:val="000000"/>
              </w:rPr>
              <w:t>6.主要材料价格</w:t>
            </w:r>
            <w:r>
              <w:rPr>
                <w:rFonts w:ascii="仿宋_GB2312" w:hAnsi="仿宋_GB2312" w:cs="仿宋_GB2312" w:eastAsia="仿宋_GB2312"/>
                <w:sz w:val="24"/>
                <w:color w:val="000000"/>
              </w:rPr>
              <w:t>按</w:t>
            </w:r>
            <w:r>
              <w:rPr>
                <w:rFonts w:ascii="仿宋_GB2312" w:hAnsi="仿宋_GB2312" w:cs="仿宋_GB2312" w:eastAsia="仿宋_GB2312"/>
                <w:sz w:val="24"/>
                <w:color w:val="000000"/>
              </w:rPr>
              <w:t>陕西省信息价计取，信息价中没有的材料价格参考</w:t>
            </w:r>
            <w:r>
              <w:rPr>
                <w:rFonts w:ascii="仿宋_GB2312" w:hAnsi="仿宋_GB2312" w:cs="仿宋_GB2312" w:eastAsia="仿宋_GB2312"/>
                <w:sz w:val="24"/>
                <w:color w:val="000000"/>
              </w:rPr>
              <w:t>市场价计入</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b/>
                <w:color w:val="000000"/>
              </w:rPr>
              <w:t>四</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其他</w:t>
            </w:r>
            <w:r>
              <w:rPr>
                <w:rFonts w:ascii="仿宋_GB2312" w:hAnsi="仿宋_GB2312" w:cs="仿宋_GB2312" w:eastAsia="仿宋_GB2312"/>
                <w:sz w:val="24"/>
                <w:b/>
                <w:color w:val="000000"/>
              </w:rPr>
              <w:t>说明：</w:t>
            </w:r>
          </w:p>
          <w:p>
            <w:pPr>
              <w:pStyle w:val="null3"/>
              <w:jc w:val="both"/>
            </w:pPr>
            <w:r>
              <w:rPr>
                <w:rFonts w:ascii="仿宋_GB2312" w:hAnsi="仿宋_GB2312" w:cs="仿宋_GB2312" w:eastAsia="仿宋_GB2312"/>
                <w:sz w:val="24"/>
                <w:color w:val="000000"/>
              </w:rPr>
              <w:t>建筑装饰部分</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1）由于住户房间内吊顶、地面、墙面装修工艺不同，暂定每户拆除恢复工程金额为3000元/每户；</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2）每户暂定金额包含垃圾清扫及外运；</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3）每户暂定金额包含其它可能发生的费用。</w:t>
            </w:r>
          </w:p>
          <w:p>
            <w:pPr>
              <w:pStyle w:val="null3"/>
              <w:jc w:val="both"/>
            </w:pPr>
            <w:r>
              <w:rPr>
                <w:rFonts w:ascii="仿宋_GB2312" w:hAnsi="仿宋_GB2312" w:cs="仿宋_GB2312" w:eastAsia="仿宋_GB2312"/>
                <w:sz w:val="24"/>
                <w:color w:val="000000"/>
              </w:rPr>
              <w:t>安装部分</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1）入户管道、水暖井管道及水平管道根据原施工图和现有图纸计算新做工程量，旧管道拆除工程量同新做工程量计入本次预算；</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2）户内竖向管道及连接散热器的水平支管和管道上的各类阀门计入本次预算；</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3）原设计图纸为上供下回单管同程式，现改为上供下回式双管系统，需要进行打洞及套管敷设；</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4）地沟内的管道需要进行保温。</w:t>
            </w:r>
          </w:p>
          <w:p>
            <w:pPr>
              <w:pStyle w:val="null3"/>
              <w:jc w:val="both"/>
            </w:pPr>
            <w:r>
              <w:rPr>
                <w:rFonts w:ascii="仿宋_GB2312" w:hAnsi="仿宋_GB2312" w:cs="仿宋_GB2312" w:eastAsia="仿宋_GB2312"/>
                <w:sz w:val="24"/>
                <w:b/>
                <w:color w:val="000000"/>
              </w:rPr>
              <w:t>五</w:t>
            </w:r>
            <w:r>
              <w:rPr>
                <w:rFonts w:ascii="仿宋_GB2312" w:hAnsi="仿宋_GB2312" w:cs="仿宋_GB2312" w:eastAsia="仿宋_GB2312"/>
                <w:sz w:val="24"/>
                <w:b/>
                <w:color w:val="000000"/>
              </w:rPr>
              <w:t>、编制范围：</w:t>
            </w:r>
          </w:p>
          <w:p>
            <w:pPr>
              <w:pStyle w:val="null3"/>
              <w:jc w:val="both"/>
            </w:pPr>
            <w:r>
              <w:rPr>
                <w:rFonts w:ascii="仿宋_GB2312" w:hAnsi="仿宋_GB2312" w:cs="仿宋_GB2312" w:eastAsia="仿宋_GB2312"/>
                <w:sz w:val="24"/>
                <w:color w:val="000000"/>
              </w:rPr>
              <w:t>设计</w:t>
            </w:r>
            <w:r>
              <w:rPr>
                <w:rFonts w:ascii="仿宋_GB2312" w:hAnsi="仿宋_GB2312" w:cs="仿宋_GB2312" w:eastAsia="仿宋_GB2312"/>
                <w:sz w:val="24"/>
                <w:color w:val="000000"/>
              </w:rPr>
              <w:t>文件</w:t>
            </w:r>
            <w:r>
              <w:rPr>
                <w:rFonts w:ascii="仿宋_GB2312" w:hAnsi="仿宋_GB2312" w:cs="仿宋_GB2312" w:eastAsia="仿宋_GB2312"/>
                <w:sz w:val="24"/>
                <w:color w:val="000000"/>
              </w:rPr>
              <w:t>全部内容</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b/>
                <w:color w:val="000000"/>
              </w:rPr>
              <w:t>六</w:t>
            </w:r>
            <w:r>
              <w:rPr>
                <w:rFonts w:ascii="仿宋_GB2312" w:hAnsi="仿宋_GB2312" w:cs="仿宋_GB2312" w:eastAsia="仿宋_GB2312"/>
                <w:sz w:val="24"/>
                <w:b/>
                <w:color w:val="000000"/>
              </w:rPr>
              <w:t>、工程量清单</w:t>
            </w:r>
          </w:p>
          <w:p>
            <w:pPr>
              <w:pStyle w:val="null3"/>
              <w:ind w:firstLine="440"/>
              <w:jc w:val="both"/>
            </w:pPr>
            <w:r>
              <w:rPr>
                <w:rFonts w:ascii="仿宋_GB2312" w:hAnsi="仿宋_GB2312" w:cs="仿宋_GB2312" w:eastAsia="仿宋_GB2312"/>
                <w:sz w:val="24"/>
                <w:color w:val="000000"/>
              </w:rPr>
              <w:t>详见附件。</w:t>
            </w:r>
          </w:p>
          <w:p>
            <w:pPr>
              <w:pStyle w:val="null3"/>
              <w:jc w:val="both"/>
            </w:pPr>
            <w:r>
              <w:rPr>
                <w:rFonts w:ascii="仿宋_GB2312" w:hAnsi="仿宋_GB2312" w:cs="仿宋_GB2312" w:eastAsia="仿宋_GB2312"/>
                <w:sz w:val="24"/>
                <w:b/>
                <w:color w:val="000000"/>
              </w:rPr>
              <w:t>七</w:t>
            </w:r>
            <w:r>
              <w:rPr>
                <w:rFonts w:ascii="仿宋_GB2312" w:hAnsi="仿宋_GB2312" w:cs="仿宋_GB2312" w:eastAsia="仿宋_GB2312"/>
                <w:sz w:val="24"/>
                <w:b/>
                <w:color w:val="000000"/>
              </w:rPr>
              <w:t>、商务要求</w:t>
            </w:r>
          </w:p>
          <w:p>
            <w:pPr>
              <w:pStyle w:val="null3"/>
              <w:ind w:firstLine="420"/>
              <w:jc w:val="both"/>
            </w:pPr>
            <w:r>
              <w:rPr>
                <w:rFonts w:ascii="仿宋_GB2312" w:hAnsi="仿宋_GB2312" w:cs="仿宋_GB2312" w:eastAsia="仿宋_GB2312"/>
                <w:sz w:val="24"/>
                <w:color w:val="000000"/>
              </w:rPr>
              <w:t>工期：</w:t>
            </w:r>
            <w:r>
              <w:rPr>
                <w:rFonts w:ascii="仿宋_GB2312" w:hAnsi="仿宋_GB2312" w:cs="仿宋_GB2312" w:eastAsia="仿宋_GB2312"/>
                <w:sz w:val="24"/>
                <w:color w:val="000000"/>
              </w:rPr>
              <w:t>90</w:t>
            </w:r>
            <w:r>
              <w:rPr>
                <w:rFonts w:ascii="仿宋_GB2312" w:hAnsi="仿宋_GB2312" w:cs="仿宋_GB2312" w:eastAsia="仿宋_GB2312"/>
                <w:sz w:val="24"/>
                <w:color w:val="000000"/>
              </w:rPr>
              <w:t>天</w:t>
            </w:r>
          </w:p>
          <w:p>
            <w:pPr>
              <w:pStyle w:val="null3"/>
              <w:ind w:firstLine="420"/>
              <w:jc w:val="both"/>
            </w:pPr>
            <w:r>
              <w:rPr>
                <w:rFonts w:ascii="仿宋_GB2312" w:hAnsi="仿宋_GB2312" w:cs="仿宋_GB2312" w:eastAsia="仿宋_GB2312"/>
                <w:sz w:val="24"/>
                <w:color w:val="000000"/>
              </w:rPr>
              <w:t>合同价款支付方式：</w:t>
            </w:r>
          </w:p>
          <w:p>
            <w:pPr>
              <w:pStyle w:val="null3"/>
              <w:ind w:firstLine="420"/>
              <w:jc w:val="both"/>
            </w:pPr>
            <w:r>
              <w:rPr>
                <w:rFonts w:ascii="仿宋_GB2312" w:hAnsi="仿宋_GB2312" w:cs="仿宋_GB2312" w:eastAsia="仿宋_GB2312"/>
                <w:sz w:val="24"/>
                <w:color w:val="000000"/>
              </w:rPr>
              <w:t>1.合同签订后30天内甲方向乙方支付合同金额40%的预付款；</w:t>
            </w:r>
          </w:p>
          <w:p>
            <w:pPr>
              <w:pStyle w:val="null3"/>
              <w:ind w:firstLine="420"/>
              <w:jc w:val="both"/>
            </w:pPr>
            <w:r>
              <w:rPr>
                <w:rFonts w:ascii="仿宋_GB2312" w:hAnsi="仿宋_GB2312" w:cs="仿宋_GB2312" w:eastAsia="仿宋_GB2312"/>
                <w:sz w:val="24"/>
                <w:color w:val="000000"/>
              </w:rPr>
              <w:t>2.项目实施至中期节点，由乙方提交付款申请，经甲方审核确认无误后15日内，甲方向乙方支付至合同总金额的70%作为项目进度款；</w:t>
            </w:r>
          </w:p>
          <w:p>
            <w:pPr>
              <w:pStyle w:val="null3"/>
              <w:ind w:firstLine="420"/>
              <w:jc w:val="both"/>
            </w:pPr>
            <w:r>
              <w:rPr>
                <w:rFonts w:ascii="仿宋_GB2312" w:hAnsi="仿宋_GB2312" w:cs="仿宋_GB2312" w:eastAsia="仿宋_GB2312"/>
                <w:sz w:val="24"/>
                <w:color w:val="000000"/>
              </w:rPr>
              <w:t>3.工程竣工验收合格，结算审计完成后30天内，乙方须向甲方开具符合甲方要求的等额发票，甲方向乙方支付至结算审计金额的100%。</w:t>
            </w:r>
          </w:p>
          <w:p>
            <w:pPr>
              <w:pStyle w:val="null3"/>
              <w:jc w:val="both"/>
            </w:pPr>
            <w:r>
              <w:rPr>
                <w:rFonts w:ascii="仿宋_GB2312" w:hAnsi="仿宋_GB2312" w:cs="仿宋_GB2312" w:eastAsia="仿宋_GB2312"/>
                <w:sz w:val="24"/>
                <w:b/>
                <w:color w:val="000000"/>
              </w:rPr>
              <w:t>八</w:t>
            </w:r>
            <w:r>
              <w:rPr>
                <w:rFonts w:ascii="仿宋_GB2312" w:hAnsi="仿宋_GB2312" w:cs="仿宋_GB2312" w:eastAsia="仿宋_GB2312"/>
                <w:sz w:val="24"/>
                <w:b/>
                <w:color w:val="000000"/>
              </w:rPr>
              <w:t>、技术要求：</w:t>
            </w:r>
          </w:p>
          <w:p>
            <w:pPr>
              <w:pStyle w:val="null3"/>
              <w:jc w:val="both"/>
            </w:pPr>
            <w:r>
              <w:rPr>
                <w:rFonts w:ascii="仿宋_GB2312" w:hAnsi="仿宋_GB2312" w:cs="仿宋_GB2312" w:eastAsia="仿宋_GB2312"/>
                <w:sz w:val="24"/>
                <w:color w:val="000000"/>
              </w:rPr>
              <w:t>工程须达到国家及行业现行技术规范标准，符合国家及行业验收合格标准。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工程须达到国家及行业现行技术规范标准，符合国家及行业验收合格标准。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满足磋商文件、工程量清单要求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本项目所属行业为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度或2025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在开标日期前六个月内其开户银行出具的资信证明，以上两种形式的资料提供任何一种即可（分支机构如无法提供财务审计报告，须出具包含分支机构的财务数据的总公司财务审计报告）；事业单位零余额账户提供相应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提供首次磋商响应文件递交截止时间前6个月内任意一个月的缴纳证明。依法不需要交纳社会保障资金的供应商应提供相关文件证明；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提供首次磋商响应文件递交截止时间前6个月内任意一个月的纳税证明或完税证明（任意税种），纳税证明或完税证明上应有代收机构或税务机关的公章或业务专用章。依法免税的供应商应提供相关文件证明；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本项目专门面向中小企业采购，供应商应为中小微企业或监狱企业或残疾人福利性单位；</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法定代表人直接参加磋商的，须提供法定代表人身份证明及其身份证电子件或扫描件；法定代表人授权他人参加磋商的，须提供法定代表人授权委托书（附法定代表人、被授权人身份证电子件或扫描件）；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供应商须建筑工程施工总承包三级（或以上）资质且具备有效的安全生产许可证；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拟派项目负责人要求</w:t>
            </w:r>
          </w:p>
        </w:tc>
        <w:tc>
          <w:tcPr>
            <w:tcW w:type="dxa" w:w="3322"/>
          </w:tcPr>
          <w:p>
            <w:pPr>
              <w:pStyle w:val="null3"/>
            </w:pPr>
            <w:r>
              <w:rPr>
                <w:rFonts w:ascii="仿宋_GB2312" w:hAnsi="仿宋_GB2312" w:cs="仿宋_GB2312" w:eastAsia="仿宋_GB2312"/>
              </w:rPr>
              <w:t>拟派项目负责人资质需具备建筑工程专业二级（含二级）及以上注册建造师证书和有效的安全生产考核合格证（建安B证），且无在建工程（无在建供应商自主承诺）；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信用记录声明</w:t>
            </w:r>
          </w:p>
        </w:tc>
        <w:tc>
          <w:tcPr>
            <w:tcW w:type="dxa" w:w="3322"/>
          </w:tcPr>
          <w:p>
            <w:pPr>
              <w:pStyle w:val="null3"/>
            </w:pPr>
            <w:r>
              <w:rPr>
                <w:rFonts w:ascii="仿宋_GB2312" w:hAnsi="仿宋_GB2312" w:cs="仿宋_GB2312" w:eastAsia="仿宋_GB2312"/>
              </w:rPr>
              <w:t>供应商不得为“信用中国”网站（www.creditchina.gov.cn）中列入失信被执行人（页面跳转至“中国执行信息公开网”http://zxgk.court.gov.cn/shixin/）和重大税收违法失信主体名单的供应商，不得为中国政府采购网（www.ccgp.gov.cn）政府采购严重违法失信行为记录名单中被财政部门禁止参加政府采购活动的供应商。 提供《供应商信用记录书面声明函》（按格式填写，提供原件）。经查，供应商未被列入“信用中国”网站记录的“失信被执行人”或“重大税收违法失信主体”名单；不处于“中国政府采购网”记录的“政府采购严重违法失信行为记录名单 ”中的禁止参加政府采购活动期间；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控股管理关系承诺书</w:t>
            </w:r>
          </w:p>
        </w:tc>
        <w:tc>
          <w:tcPr>
            <w:tcW w:type="dxa" w:w="3322"/>
          </w:tcPr>
          <w:p>
            <w:pPr>
              <w:pStyle w:val="null3"/>
            </w:pPr>
            <w:r>
              <w:rPr>
                <w:rFonts w:ascii="仿宋_GB2312" w:hAnsi="仿宋_GB2312" w:cs="仿宋_GB2312" w:eastAsia="仿宋_GB2312"/>
              </w:rPr>
              <w:t>单位负责人为同一人或者存在直接控股、管理关系的供应商，不得参加同一合同下的政府采购活动；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本项目不接受联合体响应，不允许分包</w:t>
            </w:r>
          </w:p>
        </w:tc>
        <w:tc>
          <w:tcPr>
            <w:tcW w:type="dxa" w:w="3322"/>
          </w:tcPr>
          <w:p>
            <w:pPr>
              <w:pStyle w:val="null3"/>
            </w:pPr>
            <w:r>
              <w:rPr>
                <w:rFonts w:ascii="仿宋_GB2312" w:hAnsi="仿宋_GB2312" w:cs="仿宋_GB2312" w:eastAsia="仿宋_GB2312"/>
              </w:rPr>
              <w:t>供应商提供《非联合体、不分包投标声明》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商务响应.docx 已标价工程量清单 报价函 标的清单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竞争性磋商响应文件的签署盖章</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响应文件封面 商务响应.docx 已标价工程量清单 磋商响应方案.docx 报价函 标的清单 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只能有一个有效报价，不得提交选择性报价，按要求提交二次或多次报价，且每轮报价不超过采购预算金额或最高限价或磋商小组认为低于成本价的报价。</w:t>
            </w:r>
          </w:p>
        </w:tc>
        <w:tc>
          <w:tcPr>
            <w:tcW w:type="dxa" w:w="1661"/>
          </w:tcPr>
          <w:p>
            <w:pPr>
              <w:pStyle w:val="null3"/>
            </w:pPr>
            <w:r>
              <w:rPr>
                <w:rFonts w:ascii="仿宋_GB2312" w:hAnsi="仿宋_GB2312" w:cs="仿宋_GB2312" w:eastAsia="仿宋_GB2312"/>
              </w:rPr>
              <w:t>商务响应.docx 已标价工程量清单 报价函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商务响应.docx 报价函 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商务响应.docx 报价函 标的清单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无其他竞争性磋商文件或法律法规明确规定响应无效的事项</w:t>
            </w:r>
          </w:p>
        </w:tc>
        <w:tc>
          <w:tcPr>
            <w:tcW w:type="dxa" w:w="3322"/>
          </w:tcPr>
          <w:p>
            <w:pPr>
              <w:pStyle w:val="null3"/>
            </w:pPr>
            <w:r>
              <w:rPr>
                <w:rFonts w:ascii="仿宋_GB2312" w:hAnsi="仿宋_GB2312" w:cs="仿宋_GB2312" w:eastAsia="仿宋_GB2312"/>
              </w:rPr>
              <w:t>没有不符合竞争性磋商文件及法律法规规定的被视为无效响应的其他条款，不能有采购人不能接受的附加条件</w:t>
            </w:r>
          </w:p>
        </w:tc>
        <w:tc>
          <w:tcPr>
            <w:tcW w:type="dxa" w:w="1661"/>
          </w:tcPr>
          <w:p>
            <w:pPr>
              <w:pStyle w:val="null3"/>
            </w:pPr>
            <w:r>
              <w:rPr>
                <w:rFonts w:ascii="仿宋_GB2312" w:hAnsi="仿宋_GB2312" w:cs="仿宋_GB2312" w:eastAsia="仿宋_GB2312"/>
              </w:rPr>
              <w:t>商务响应.docx 已标价工程量清单 报价函 标的清单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供应商针对本项目编制完善的施工部署，内容包含： ①施工目标:成本目标、工期目标、质量目标 ②施工准备：技术准备、材料准备③施工平面布置与安排：现场围挡及入口管理、交通组织安排、消防及道路安排。 评审标准 完整性：方案必须全面，对评审内容中的各项要求有详细描述； 可实施性：切合本项目实际情况，提出步骤清晰、合理的方案； 针对性：方案能够紧扣项目实际情况，内容科学合理。 赋分标准（满分9分） ①施工目标：每完全满足一个评审标准得1分，满分3分； ②施工准备：每完全满足一个评审标准得1分，满分3分； ③施工平面布置与安排：每完全满足一个评审标准得1分，满分3分。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供应商针对本项目编制完善的施工进度计划，内容包含： ①施工进度计划横道图 ②进度计划保证措施 ③工期保证措施。 评审标准 完整性：方案必须全面，对评审内容中的各项要求有详细描述； 可实施性：切合本项目实际情况，提出步骤清晰、合理的方案； 针对性：方案能够紧扣项目实际情况，内容科学合理。 赋分标准 （满分9分） ①施工进度计划图：每完全满足一个评审标准得1分，满分3分； ②进度计划保证措施：每完全满足一个评审标准得1分，满分3分； ③工期保证措施：每完全满足一 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供应商针对本项目编制完善的施工方案内容包含： ①工程重难点及解决措施 ②工程施工方法 评审标准 完整性：方案必须全面，对评审内容中的各项要求有详细描述； 可实施性：切合本项目实际情况，提出步骤清晰、合理的方案； 针对性：方案能够紧扣项目实际情况，内容科学合理。 赋分标准（12分） ①工程重难点及解决措施：每完全满足一个评审标准得2分，满分6分； ②工程施工方法：每完全满足一个评审标准得2分，满分6分；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供应商针对本项目编制完善的质量保证措施，内容包含： ①质量目标管理体系 ②施工质量的检验制度 ③确保质量的技术组织措施 ④施工质量控制措施。 评审标准 完整性：方案必须全面，对评审内容中的各项要求有详细描述； 可实施性：切合本项目实际情况，提出步骤清晰、合理的方案； 针对性：方案能够紧扣项目实际情况 ，内容科学合理。 赋分标准（满分12分） ①质量目标管理体系：每完全满足一个评审标准得1分，满分3分； ②施工质量检验制度：每完全满足一个评审标准得1分，满 分3分；③确保质量的技术组织措施：每完全满足一个评审标准得1分，满分3分； ④施工质量控制措施：每完全满足一个评审标准得1分，满分3分。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安全文明施工措施</w:t>
            </w:r>
          </w:p>
        </w:tc>
        <w:tc>
          <w:tcPr>
            <w:tcW w:type="dxa" w:w="2492"/>
          </w:tcPr>
          <w:p>
            <w:pPr>
              <w:pStyle w:val="null3"/>
            </w:pPr>
            <w:r>
              <w:rPr>
                <w:rFonts w:ascii="仿宋_GB2312" w:hAnsi="仿宋_GB2312" w:cs="仿宋_GB2312" w:eastAsia="仿宋_GB2312"/>
              </w:rPr>
              <w:t>供应商针对本项目编制完整的安全施工措施，内容包含： ①安全生产管理制度 ②安全文明施工措施 ③安全应急预案 ④安全生产教育。 评审标准 完整性：方案必须全面，对评审内容中的各项要求有详细描述； 可实施性：切合本项目实际情况，提出步骤清晰、合理的方案； 针对性：方案能够紧扣项目实际情况，内容科学合理。 赋分标准（满分12分） ①安全生产管理制度：每完全满足一个评审标准得1分，满分3分； ②安全文明施工措施：每完全满足一个评审标准得1分，满分3分；③安全应急预案：每完全满足一个评审标准得1分，满分3分； ④安全生产教育：每完全满足一个评审标准得1分，满分3分。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供应商针对本项目编制科学的项目管理机构，内容包含： ①管理机构的配备计划 ②组织机构的岗位职责。 评审标准 完整性：方案必须全面，对评审内容中的各项要求有详细述； 可实施性：切合本项目实际情况，提出步骤清晰、合理的方案； 针对性：方案能够紧扣项目实际情况，内容科学合理。 赋分标准（满分6分） ①管理机构的配备计划：每完全满足一个评审标准得1分，满分3分；②组织机构的岗位职责：每完全满足一个评审标准得1分，满分3分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主要材料及设备</w:t>
            </w:r>
          </w:p>
        </w:tc>
        <w:tc>
          <w:tcPr>
            <w:tcW w:type="dxa" w:w="2492"/>
          </w:tcPr>
          <w:p>
            <w:pPr>
              <w:pStyle w:val="null3"/>
            </w:pPr>
            <w:r>
              <w:rPr>
                <w:rFonts w:ascii="仿宋_GB2312" w:hAnsi="仿宋_GB2312" w:cs="仿宋_GB2312" w:eastAsia="仿宋_GB2312"/>
              </w:rPr>
              <w:t>根据供应商提供主要材料及设备配备进行评审，内容包含： ①主要材料及设备管理措施 ②投入本项目使用的材料及设备品牌及安全。 评审标准 完整性：方案需全面覆盖对本项目材料设备的专项管理、合规性核查、安全防护等要求，对消防相关材料溯源、现场管控、应急处置等细节有详细阐述； 可实施性：使用材料及设备切合本项目实际情况，符合施工现场要求及长期使用要求； 3.针对性：投入本项目所有材料及设备符合工程量清单及采购人要求。 赋分标准（满分6分） ①主要材料及设备管理措施：每完全满足一个评审标准得1分，满分3分； ②投入本项目使用的材料及设备品牌及安全：每完全满足一个评审标准得1分，满分3分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提供2023年01月01日以来类似项目业绩。以合同签订日期为准，并加盖供应商公章的合同关键页复印件为计分依据，每份合格业绩合同计1分，满分4分。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1、经初审合格的竞争性磋商文件，其最终报价为有效报价。 2、有效最低报价为基准价得30分。 3、按（磋商基准价/有效最终磋商报价）×30的公式计算报价得分。 4、报价不完整的，不进入磋商基准价的计算，本项得0分。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商务响应.docx</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详见附件：商务响应.docx</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详见附件：磋商响应方案.docx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详见附件：合同主要条款及格式.docx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