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8D93B1">
      <w:pPr>
        <w:pStyle w:val="2"/>
        <w:keepNext w:val="0"/>
        <w:pageBreakBefore/>
        <w:numPr>
          <w:ilvl w:val="0"/>
          <w:numId w:val="0"/>
        </w:numPr>
        <w:spacing w:before="156" w:beforeLines="50" w:after="156" w:afterLines="50"/>
        <w:jc w:val="center"/>
        <w:rPr>
          <w:rFonts w:hint="eastAsia" w:asciiTheme="minorEastAsia" w:hAnsiTheme="minorEastAsia" w:eastAsiaTheme="minorEastAsia" w:cstheme="minorEastAsia"/>
          <w:lang w:val="en-US" w:eastAsia="zh-CN"/>
        </w:rPr>
      </w:pPr>
      <w:bookmarkStart w:id="0" w:name="_Toc312874209"/>
      <w:r>
        <w:rPr>
          <w:rFonts w:hint="eastAsia" w:asciiTheme="minorEastAsia" w:hAnsiTheme="minorEastAsia" w:eastAsiaTheme="minorEastAsia" w:cstheme="minorEastAsia"/>
          <w:lang w:val="en-US" w:eastAsia="zh-CN"/>
        </w:rPr>
        <w:t>合同主要条款及格式</w:t>
      </w:r>
    </w:p>
    <w:bookmarkEnd w:id="0"/>
    <w:p w14:paraId="03894B75">
      <w:pPr>
        <w:kinsoku/>
        <w:spacing w:after="312" w:afterLines="100" w:line="400" w:lineRule="atLeast"/>
        <w:ind w:firstLine="480" w:firstLineChars="150"/>
        <w:jc w:val="center"/>
        <w:rPr>
          <w:rFonts w:hint="eastAsia" w:ascii="仿宋" w:hAnsi="仿宋" w:eastAsia="仿宋" w:cs="仿宋"/>
          <w:b/>
          <w:bCs/>
          <w:color w:val="auto"/>
          <w:sz w:val="32"/>
          <w:szCs w:val="32"/>
          <w:highlight w:val="none"/>
          <w:lang w:eastAsia="zh-CN"/>
        </w:rPr>
      </w:pPr>
      <w:r>
        <w:rPr>
          <w:rFonts w:hint="eastAsia" w:ascii="仿宋" w:hAnsi="仿宋" w:eastAsia="仿宋" w:cs="仿宋"/>
          <w:color w:val="auto"/>
          <w:sz w:val="32"/>
          <w:szCs w:val="32"/>
          <w:highlight w:val="none"/>
          <w:lang w:eastAsia="zh-CN"/>
        </w:rPr>
        <w:t>政府采购合同格式（仅供参考）</w:t>
      </w:r>
    </w:p>
    <w:p w14:paraId="0E3864A9">
      <w:pPr>
        <w:snapToGrid w:val="0"/>
        <w:spacing w:line="360" w:lineRule="auto"/>
        <w:ind w:firstLine="539"/>
        <w:rPr>
          <w:rFonts w:hint="eastAsia" w:ascii="仿宋" w:hAnsi="仿宋" w:eastAsia="仿宋" w:cs="仿宋"/>
          <w:sz w:val="22"/>
          <w:szCs w:val="22"/>
          <w:highlight w:val="none"/>
        </w:rPr>
      </w:pPr>
      <w:bookmarkStart w:id="1" w:name="_GoBack"/>
      <w:bookmarkEnd w:id="1"/>
    </w:p>
    <w:p w14:paraId="6F256CAE">
      <w:pPr>
        <w:snapToGrid w:val="0"/>
        <w:spacing w:line="360" w:lineRule="auto"/>
        <w:ind w:firstLine="539"/>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rPr>
        <w:t>甲方(发包人)：</w:t>
      </w:r>
    </w:p>
    <w:p w14:paraId="26407C11">
      <w:pPr>
        <w:snapToGrid w:val="0"/>
        <w:spacing w:line="360" w:lineRule="auto"/>
        <w:ind w:firstLine="539"/>
        <w:rPr>
          <w:rFonts w:hint="eastAsia" w:ascii="仿宋" w:hAnsi="仿宋" w:eastAsia="仿宋" w:cs="仿宋"/>
          <w:sz w:val="22"/>
          <w:szCs w:val="22"/>
          <w:highlight w:val="none"/>
        </w:rPr>
      </w:pPr>
      <w:r>
        <w:rPr>
          <w:rFonts w:hint="eastAsia" w:ascii="仿宋" w:hAnsi="仿宋" w:eastAsia="仿宋" w:cs="仿宋"/>
          <w:sz w:val="22"/>
          <w:szCs w:val="22"/>
          <w:highlight w:val="none"/>
        </w:rPr>
        <w:t>乙方(承包人)：</w:t>
      </w:r>
    </w:p>
    <w:p w14:paraId="507D0182">
      <w:pPr>
        <w:snapToGrid w:val="0"/>
        <w:spacing w:line="360" w:lineRule="auto"/>
        <w:ind w:firstLine="539"/>
        <w:rPr>
          <w:rFonts w:hint="eastAsia" w:ascii="仿宋" w:hAnsi="仿宋" w:eastAsia="仿宋" w:cs="仿宋"/>
          <w:sz w:val="22"/>
          <w:szCs w:val="22"/>
          <w:highlight w:val="none"/>
        </w:rPr>
      </w:pPr>
      <w:r>
        <w:rPr>
          <w:rFonts w:hint="eastAsia" w:ascii="仿宋" w:hAnsi="仿宋" w:eastAsia="仿宋" w:cs="仿宋"/>
          <w:sz w:val="22"/>
          <w:szCs w:val="22"/>
          <w:highlight w:val="none"/>
        </w:rPr>
        <w:t>签订日期：</w:t>
      </w:r>
    </w:p>
    <w:p w14:paraId="340CEB1C">
      <w:pPr>
        <w:snapToGrid w:val="0"/>
        <w:spacing w:line="360" w:lineRule="auto"/>
        <w:ind w:firstLine="539"/>
        <w:rPr>
          <w:rFonts w:hint="eastAsia" w:ascii="仿宋" w:hAnsi="仿宋" w:eastAsia="仿宋" w:cs="仿宋"/>
          <w:sz w:val="22"/>
          <w:szCs w:val="22"/>
          <w:highlight w:val="none"/>
        </w:rPr>
      </w:pPr>
      <w:r>
        <w:rPr>
          <w:rFonts w:hint="eastAsia" w:ascii="仿宋" w:hAnsi="仿宋" w:eastAsia="仿宋" w:cs="仿宋"/>
          <w:sz w:val="22"/>
          <w:szCs w:val="22"/>
          <w:highlight w:val="none"/>
        </w:rPr>
        <w:t>根据《中华人民共和国民法典》等有关</w:t>
      </w:r>
      <w:r>
        <w:rPr>
          <w:rFonts w:hint="eastAsia" w:ascii="仿宋" w:hAnsi="仿宋" w:eastAsia="仿宋" w:cs="仿宋"/>
          <w:sz w:val="22"/>
          <w:szCs w:val="22"/>
          <w:highlight w:val="none"/>
        </w:rPr>
        <w:fldChar w:fldCharType="begin"/>
      </w:r>
      <w:r>
        <w:rPr>
          <w:rFonts w:hint="eastAsia" w:ascii="仿宋" w:hAnsi="仿宋" w:eastAsia="仿宋" w:cs="仿宋"/>
          <w:sz w:val="22"/>
          <w:szCs w:val="22"/>
          <w:highlight w:val="none"/>
        </w:rPr>
        <w:instrText xml:space="preserve"> HYPERLINK "http://www.chinalawedu.com/falvfagui/" </w:instrText>
      </w:r>
      <w:r>
        <w:rPr>
          <w:rFonts w:hint="eastAsia" w:ascii="仿宋" w:hAnsi="仿宋" w:eastAsia="仿宋" w:cs="仿宋"/>
          <w:sz w:val="22"/>
          <w:szCs w:val="22"/>
          <w:highlight w:val="none"/>
        </w:rPr>
        <w:fldChar w:fldCharType="separate"/>
      </w:r>
      <w:r>
        <w:rPr>
          <w:rFonts w:hint="eastAsia" w:ascii="仿宋" w:hAnsi="仿宋" w:eastAsia="仿宋" w:cs="仿宋"/>
          <w:sz w:val="22"/>
          <w:szCs w:val="22"/>
          <w:highlight w:val="none"/>
        </w:rPr>
        <w:t>法律法规</w:t>
      </w:r>
      <w:r>
        <w:rPr>
          <w:rFonts w:hint="eastAsia" w:ascii="仿宋" w:hAnsi="仿宋" w:eastAsia="仿宋" w:cs="仿宋"/>
          <w:sz w:val="22"/>
          <w:szCs w:val="22"/>
          <w:highlight w:val="none"/>
        </w:rPr>
        <w:fldChar w:fldCharType="end"/>
      </w:r>
      <w:r>
        <w:rPr>
          <w:rFonts w:hint="eastAsia" w:ascii="仿宋" w:hAnsi="仿宋" w:eastAsia="仿宋" w:cs="仿宋"/>
          <w:sz w:val="22"/>
          <w:szCs w:val="22"/>
          <w:highlight w:val="none"/>
        </w:rPr>
        <w:t>的规定，结合本工程的具体情况，甲乙双方在遵循自愿、平等、公平、诚信的基础上，经双方协商一致，签订本合同。</w:t>
      </w:r>
    </w:p>
    <w:p w14:paraId="2160197A">
      <w:pPr>
        <w:snapToGrid w:val="0"/>
        <w:spacing w:line="360" w:lineRule="auto"/>
        <w:ind w:firstLine="539"/>
        <w:rPr>
          <w:rFonts w:hint="eastAsia" w:ascii="仿宋" w:hAnsi="仿宋" w:eastAsia="仿宋" w:cs="仿宋"/>
          <w:sz w:val="22"/>
          <w:szCs w:val="22"/>
          <w:highlight w:val="none"/>
        </w:rPr>
      </w:pPr>
      <w:r>
        <w:rPr>
          <w:rFonts w:hint="eastAsia" w:ascii="仿宋" w:hAnsi="仿宋" w:eastAsia="仿宋" w:cs="仿宋"/>
          <w:sz w:val="22"/>
          <w:szCs w:val="22"/>
          <w:highlight w:val="none"/>
        </w:rPr>
        <w:t>第一条工程概况</w:t>
      </w:r>
    </w:p>
    <w:p w14:paraId="369EB4CE">
      <w:pPr>
        <w:snapToGrid w:val="0"/>
        <w:spacing w:line="360" w:lineRule="auto"/>
        <w:ind w:firstLine="539"/>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rPr>
        <w:t>一</w:t>
      </w:r>
      <w:r>
        <w:rPr>
          <w:rFonts w:hint="eastAsia" w:ascii="仿宋" w:hAnsi="仿宋" w:eastAsia="仿宋" w:cs="仿宋"/>
          <w:sz w:val="22"/>
          <w:szCs w:val="22"/>
          <w:highlight w:val="none"/>
          <w:lang w:val="en-US" w:eastAsia="zh-CN"/>
        </w:rPr>
        <w:t>.</w:t>
      </w:r>
      <w:r>
        <w:rPr>
          <w:rFonts w:hint="eastAsia" w:ascii="仿宋" w:hAnsi="仿宋" w:eastAsia="仿宋" w:cs="仿宋"/>
          <w:sz w:val="22"/>
          <w:szCs w:val="22"/>
          <w:highlight w:val="none"/>
        </w:rPr>
        <w:t>工程名称：</w:t>
      </w:r>
    </w:p>
    <w:p w14:paraId="4416E852">
      <w:pPr>
        <w:snapToGrid w:val="0"/>
        <w:spacing w:line="360" w:lineRule="auto"/>
        <w:ind w:firstLine="539"/>
        <w:rPr>
          <w:rFonts w:hint="eastAsia" w:ascii="仿宋" w:hAnsi="仿宋" w:eastAsia="仿宋" w:cs="仿宋"/>
          <w:sz w:val="22"/>
          <w:szCs w:val="22"/>
          <w:highlight w:val="none"/>
        </w:rPr>
      </w:pPr>
      <w:r>
        <w:rPr>
          <w:rFonts w:hint="eastAsia" w:ascii="仿宋" w:hAnsi="仿宋" w:eastAsia="仿宋" w:cs="仿宋"/>
          <w:sz w:val="22"/>
          <w:szCs w:val="22"/>
          <w:highlight w:val="none"/>
        </w:rPr>
        <w:t>二</w:t>
      </w:r>
      <w:r>
        <w:rPr>
          <w:rFonts w:hint="eastAsia" w:ascii="仿宋" w:hAnsi="仿宋" w:eastAsia="仿宋" w:cs="仿宋"/>
          <w:sz w:val="22"/>
          <w:szCs w:val="22"/>
          <w:highlight w:val="none"/>
          <w:lang w:val="en-US" w:eastAsia="zh-CN"/>
        </w:rPr>
        <w:t>.</w:t>
      </w:r>
      <w:r>
        <w:rPr>
          <w:rFonts w:hint="eastAsia" w:ascii="仿宋" w:hAnsi="仿宋" w:eastAsia="仿宋" w:cs="仿宋"/>
          <w:sz w:val="22"/>
          <w:szCs w:val="22"/>
          <w:highlight w:val="none"/>
        </w:rPr>
        <w:t>工程地点：</w:t>
      </w:r>
      <w:r>
        <w:rPr>
          <w:rFonts w:hint="eastAsia" w:ascii="仿宋" w:hAnsi="仿宋" w:eastAsia="仿宋" w:cs="仿宋"/>
          <w:sz w:val="22"/>
          <w:szCs w:val="22"/>
          <w:highlight w:val="none"/>
          <w:lang w:val="en-US" w:eastAsia="zh-CN"/>
        </w:rPr>
        <w:t>太白南路与南二环交叉口东北角</w:t>
      </w:r>
    </w:p>
    <w:p w14:paraId="43B5DFA0">
      <w:pPr>
        <w:snapToGrid w:val="0"/>
        <w:spacing w:line="360" w:lineRule="auto"/>
        <w:ind w:firstLine="539"/>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rPr>
        <w:t>第二条工程范围</w:t>
      </w:r>
      <w:r>
        <w:rPr>
          <w:rFonts w:hint="eastAsia" w:ascii="仿宋" w:hAnsi="仿宋" w:eastAsia="仿宋" w:cs="仿宋"/>
          <w:sz w:val="22"/>
          <w:szCs w:val="22"/>
          <w:highlight w:val="none"/>
          <w:lang w:eastAsia="zh-CN"/>
        </w:rPr>
        <w:t>：</w:t>
      </w:r>
    </w:p>
    <w:p w14:paraId="20ABFC2B">
      <w:pPr>
        <w:snapToGrid w:val="0"/>
        <w:spacing w:line="360" w:lineRule="auto"/>
        <w:ind w:firstLine="539"/>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rPr>
        <w:t>乙方承包的工程范围：</w:t>
      </w:r>
    </w:p>
    <w:p w14:paraId="39490408">
      <w:pPr>
        <w:snapToGrid w:val="0"/>
        <w:spacing w:line="360" w:lineRule="auto"/>
        <w:ind w:firstLine="539"/>
        <w:rPr>
          <w:rFonts w:hint="eastAsia" w:ascii="仿宋" w:hAnsi="仿宋" w:eastAsia="仿宋" w:cs="仿宋"/>
          <w:sz w:val="22"/>
          <w:szCs w:val="22"/>
          <w:highlight w:val="none"/>
        </w:rPr>
      </w:pPr>
      <w:r>
        <w:rPr>
          <w:rFonts w:hint="eastAsia" w:ascii="仿宋" w:hAnsi="仿宋" w:eastAsia="仿宋" w:cs="仿宋"/>
          <w:sz w:val="22"/>
          <w:szCs w:val="22"/>
          <w:highlight w:val="none"/>
        </w:rPr>
        <w:t>第三条承包方式：包工包料</w:t>
      </w:r>
    </w:p>
    <w:p w14:paraId="04032D47">
      <w:pPr>
        <w:snapToGrid w:val="0"/>
        <w:spacing w:line="360" w:lineRule="auto"/>
        <w:ind w:firstLine="539"/>
        <w:rPr>
          <w:rFonts w:hint="eastAsia" w:ascii="仿宋" w:hAnsi="仿宋" w:eastAsia="仿宋" w:cs="仿宋"/>
          <w:sz w:val="22"/>
          <w:szCs w:val="22"/>
          <w:highlight w:val="none"/>
        </w:rPr>
      </w:pPr>
      <w:r>
        <w:rPr>
          <w:rFonts w:hint="eastAsia" w:ascii="仿宋" w:hAnsi="仿宋" w:eastAsia="仿宋" w:cs="仿宋"/>
          <w:sz w:val="22"/>
          <w:szCs w:val="22"/>
          <w:highlight w:val="none"/>
        </w:rPr>
        <w:t>第四条合同工期：本合同工期为日历天，自乙方进场之日起计算。</w:t>
      </w:r>
    </w:p>
    <w:p w14:paraId="7DF327CA">
      <w:pPr>
        <w:snapToGrid w:val="0"/>
        <w:spacing w:line="360" w:lineRule="auto"/>
        <w:ind w:firstLine="539"/>
        <w:rPr>
          <w:rFonts w:hint="eastAsia" w:ascii="仿宋" w:hAnsi="仿宋" w:eastAsia="仿宋" w:cs="仿宋"/>
          <w:sz w:val="22"/>
          <w:szCs w:val="22"/>
          <w:highlight w:val="none"/>
        </w:rPr>
      </w:pPr>
      <w:r>
        <w:rPr>
          <w:rFonts w:hint="eastAsia" w:ascii="仿宋" w:hAnsi="仿宋" w:eastAsia="仿宋" w:cs="仿宋"/>
          <w:sz w:val="22"/>
          <w:szCs w:val="22"/>
          <w:highlight w:val="none"/>
        </w:rPr>
        <w:t>第五条工程价款</w:t>
      </w:r>
    </w:p>
    <w:p w14:paraId="693882C3">
      <w:pPr>
        <w:snapToGrid w:val="0"/>
        <w:spacing w:line="360" w:lineRule="auto"/>
        <w:ind w:firstLine="539"/>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rPr>
        <w:t>(</w:t>
      </w:r>
      <w:r>
        <w:rPr>
          <w:rFonts w:hint="eastAsia" w:ascii="仿宋" w:hAnsi="仿宋" w:eastAsia="仿宋" w:cs="仿宋"/>
          <w:sz w:val="22"/>
          <w:szCs w:val="22"/>
          <w:highlight w:val="none"/>
          <w:lang w:val="en-US" w:eastAsia="zh-CN"/>
        </w:rPr>
        <w:t>一</w:t>
      </w:r>
      <w:r>
        <w:rPr>
          <w:rFonts w:hint="eastAsia" w:ascii="仿宋" w:hAnsi="仿宋" w:eastAsia="仿宋" w:cs="仿宋"/>
          <w:sz w:val="22"/>
          <w:szCs w:val="22"/>
          <w:highlight w:val="none"/>
        </w:rPr>
        <w:t>)工程价款(含税)为：元(大写)</w:t>
      </w:r>
    </w:p>
    <w:p w14:paraId="1D6A2D6E">
      <w:pPr>
        <w:snapToGrid w:val="0"/>
        <w:spacing w:line="360" w:lineRule="auto"/>
        <w:ind w:firstLine="2908" w:firstLineChars="1322"/>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rPr>
        <w:t>￥(小写)</w:t>
      </w:r>
      <w:r>
        <w:rPr>
          <w:rFonts w:hint="eastAsia" w:ascii="仿宋" w:hAnsi="仿宋" w:eastAsia="仿宋" w:cs="仿宋"/>
          <w:sz w:val="22"/>
          <w:szCs w:val="22"/>
          <w:highlight w:val="none"/>
          <w:lang w:eastAsia="zh-CN"/>
        </w:rPr>
        <w:t>。</w:t>
      </w:r>
    </w:p>
    <w:p w14:paraId="50C3FE22">
      <w:pPr>
        <w:snapToGrid w:val="0"/>
        <w:spacing w:line="360" w:lineRule="auto"/>
        <w:ind w:firstLine="539"/>
        <w:rPr>
          <w:rFonts w:hint="eastAsia" w:ascii="仿宋" w:hAnsi="仿宋" w:eastAsia="仿宋" w:cs="仿宋"/>
          <w:sz w:val="22"/>
          <w:szCs w:val="22"/>
          <w:highlight w:val="none"/>
        </w:rPr>
      </w:pPr>
      <w:r>
        <w:rPr>
          <w:rFonts w:hint="eastAsia" w:ascii="仿宋" w:hAnsi="仿宋" w:eastAsia="仿宋" w:cs="仿宋"/>
          <w:sz w:val="22"/>
          <w:szCs w:val="22"/>
          <w:highlight w:val="none"/>
        </w:rPr>
        <w:t>(二)合同价格形式:发包人和承包人约定执行</w:t>
      </w:r>
      <w:r>
        <w:rPr>
          <w:rFonts w:hint="eastAsia" w:ascii="仿宋" w:hAnsi="仿宋" w:eastAsia="仿宋" w:cs="仿宋"/>
          <w:color w:val="auto"/>
          <w:sz w:val="22"/>
          <w:szCs w:val="22"/>
          <w:highlight w:val="none"/>
          <w:lang w:val="en-US" w:eastAsia="zh-CN"/>
        </w:rPr>
        <w:t>固定总价</w:t>
      </w:r>
      <w:r>
        <w:rPr>
          <w:rFonts w:hint="eastAsia" w:ascii="仿宋" w:hAnsi="仿宋" w:eastAsia="仿宋" w:cs="仿宋"/>
          <w:sz w:val="22"/>
          <w:szCs w:val="22"/>
          <w:highlight w:val="none"/>
        </w:rPr>
        <w:t>合同。</w:t>
      </w:r>
    </w:p>
    <w:p w14:paraId="7BFF8650">
      <w:pPr>
        <w:snapToGrid w:val="0"/>
        <w:spacing w:line="360" w:lineRule="auto"/>
        <w:ind w:firstLine="53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第六条工程价款支付</w:t>
      </w:r>
    </w:p>
    <w:p w14:paraId="558AADAB">
      <w:pPr>
        <w:snapToGrid w:val="0"/>
        <w:spacing w:line="360" w:lineRule="auto"/>
        <w:ind w:firstLine="53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结算单位：</w:t>
      </w:r>
    </w:p>
    <w:p w14:paraId="1D1EFC3C">
      <w:pPr>
        <w:snapToGrid w:val="0"/>
        <w:spacing w:line="360" w:lineRule="auto"/>
        <w:ind w:firstLine="539"/>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val="en-US" w:eastAsia="zh-CN"/>
        </w:rPr>
        <w:t>1.</w:t>
      </w:r>
      <w:r>
        <w:rPr>
          <w:rFonts w:hint="eastAsia" w:ascii="仿宋" w:hAnsi="仿宋" w:eastAsia="仿宋" w:cs="仿宋"/>
          <w:sz w:val="22"/>
          <w:szCs w:val="22"/>
          <w:highlight w:val="none"/>
          <w:lang w:eastAsia="zh-CN"/>
        </w:rPr>
        <w:t>结算单位：</w:t>
      </w:r>
      <w:r>
        <w:rPr>
          <w:rFonts w:hint="eastAsia" w:ascii="仿宋" w:hAnsi="仿宋" w:eastAsia="仿宋" w:cs="仿宋"/>
          <w:sz w:val="22"/>
          <w:szCs w:val="22"/>
          <w:highlight w:val="none"/>
          <w:lang w:val="en-US" w:eastAsia="zh-CN"/>
        </w:rPr>
        <w:t>中标单位</w:t>
      </w:r>
      <w:r>
        <w:rPr>
          <w:rFonts w:hint="eastAsia" w:ascii="仿宋" w:hAnsi="仿宋" w:eastAsia="仿宋" w:cs="仿宋"/>
          <w:sz w:val="22"/>
          <w:szCs w:val="22"/>
          <w:highlight w:val="none"/>
          <w:lang w:eastAsia="zh-CN"/>
        </w:rPr>
        <w:t>结算，在付款前必须开具增值税发票给采购人。</w:t>
      </w:r>
    </w:p>
    <w:p w14:paraId="6D14811B">
      <w:pPr>
        <w:snapToGrid w:val="0"/>
        <w:spacing w:line="360" w:lineRule="auto"/>
        <w:ind w:firstLine="539"/>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2.付款方式：</w:t>
      </w:r>
    </w:p>
    <w:p w14:paraId="74A35CAA">
      <w:pPr>
        <w:numPr>
          <w:ilvl w:val="0"/>
          <w:numId w:val="1"/>
        </w:numPr>
        <w:snapToGrid w:val="0"/>
        <w:spacing w:line="360" w:lineRule="auto"/>
        <w:ind w:left="0" w:leftChars="0" w:firstLine="440" w:firstLineChars="200"/>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合同签订后30天内甲方向乙方支付合同金额40%的预付款；</w:t>
      </w:r>
    </w:p>
    <w:p w14:paraId="0853F8A8">
      <w:pPr>
        <w:numPr>
          <w:ilvl w:val="0"/>
          <w:numId w:val="1"/>
        </w:numPr>
        <w:snapToGrid w:val="0"/>
        <w:spacing w:line="360" w:lineRule="auto"/>
        <w:ind w:left="0" w:leftChars="0" w:firstLine="440" w:firstLineChars="200"/>
        <w:rPr>
          <w:rFonts w:hint="default"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项目实施至中期节点，由乙方提交付款申请，经甲方审核确认无误后15日内，甲方向乙方支付至合同总金额的70%作为项目进度款；</w:t>
      </w:r>
    </w:p>
    <w:p w14:paraId="4F1A75C9">
      <w:pPr>
        <w:numPr>
          <w:ilvl w:val="0"/>
          <w:numId w:val="1"/>
        </w:numPr>
        <w:snapToGrid w:val="0"/>
        <w:spacing w:line="360" w:lineRule="auto"/>
        <w:ind w:left="0" w:leftChars="0" w:firstLine="440" w:firstLineChars="200"/>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工程竣工验收合格，结算审计完成后30天内，乙方须向甲方开具符合甲方要求的等额发票，甲方向乙方支付至结算审计金额的100%。</w:t>
      </w:r>
    </w:p>
    <w:p w14:paraId="17A67EF2">
      <w:pPr>
        <w:snapToGrid w:val="0"/>
        <w:spacing w:line="360" w:lineRule="auto"/>
        <w:ind w:firstLine="539"/>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第七条</w:t>
      </w:r>
      <w:r>
        <w:rPr>
          <w:rFonts w:hint="eastAsia" w:ascii="仿宋" w:hAnsi="仿宋" w:eastAsia="仿宋" w:cs="仿宋"/>
          <w:sz w:val="22"/>
          <w:szCs w:val="22"/>
          <w:highlight w:val="none"/>
        </w:rPr>
        <w:t>工程质量</w:t>
      </w:r>
    </w:p>
    <w:p w14:paraId="7026029A">
      <w:pPr>
        <w:snapToGrid w:val="0"/>
        <w:spacing w:line="360" w:lineRule="auto"/>
        <w:ind w:firstLine="539"/>
        <w:rPr>
          <w:rFonts w:hint="eastAsia" w:ascii="仿宋" w:hAnsi="仿宋" w:eastAsia="仿宋" w:cs="仿宋"/>
          <w:sz w:val="22"/>
          <w:szCs w:val="22"/>
          <w:highlight w:val="none"/>
        </w:rPr>
      </w:pPr>
      <w:r>
        <w:rPr>
          <w:rFonts w:hint="eastAsia" w:ascii="仿宋" w:hAnsi="仿宋" w:eastAsia="仿宋" w:cs="仿宋"/>
          <w:sz w:val="22"/>
          <w:szCs w:val="22"/>
          <w:highlight w:val="none"/>
        </w:rPr>
        <w:t>一</w:t>
      </w:r>
      <w:r>
        <w:rPr>
          <w:rFonts w:hint="eastAsia" w:ascii="仿宋" w:hAnsi="仿宋" w:eastAsia="仿宋" w:cs="仿宋"/>
          <w:sz w:val="22"/>
          <w:szCs w:val="22"/>
          <w:highlight w:val="none"/>
          <w:lang w:val="en-US" w:eastAsia="zh-CN"/>
        </w:rPr>
        <w:t>.</w:t>
      </w:r>
      <w:r>
        <w:rPr>
          <w:rFonts w:hint="eastAsia" w:ascii="仿宋" w:hAnsi="仿宋" w:eastAsia="仿宋" w:cs="仿宋"/>
          <w:sz w:val="22"/>
          <w:szCs w:val="22"/>
          <w:highlight w:val="none"/>
        </w:rPr>
        <w:t>甲方应在乙方进场前一日，向乙方进行技术交底。</w:t>
      </w:r>
    </w:p>
    <w:p w14:paraId="2B8F954D">
      <w:pPr>
        <w:snapToGrid w:val="0"/>
        <w:spacing w:line="360" w:lineRule="auto"/>
        <w:ind w:firstLine="539"/>
        <w:rPr>
          <w:rFonts w:hint="eastAsia" w:ascii="仿宋" w:hAnsi="仿宋" w:eastAsia="仿宋" w:cs="仿宋"/>
          <w:sz w:val="22"/>
          <w:szCs w:val="22"/>
          <w:highlight w:val="none"/>
        </w:rPr>
      </w:pPr>
      <w:r>
        <w:rPr>
          <w:rFonts w:hint="eastAsia" w:ascii="仿宋" w:hAnsi="仿宋" w:eastAsia="仿宋" w:cs="仿宋"/>
          <w:sz w:val="22"/>
          <w:szCs w:val="22"/>
          <w:highlight w:val="none"/>
        </w:rPr>
        <w:t>二</w:t>
      </w:r>
      <w:r>
        <w:rPr>
          <w:rFonts w:hint="eastAsia" w:ascii="仿宋" w:hAnsi="仿宋" w:eastAsia="仿宋" w:cs="仿宋"/>
          <w:sz w:val="22"/>
          <w:szCs w:val="22"/>
          <w:highlight w:val="none"/>
          <w:lang w:val="en-US" w:eastAsia="zh-CN"/>
        </w:rPr>
        <w:t>.</w:t>
      </w:r>
      <w:r>
        <w:rPr>
          <w:rFonts w:hint="eastAsia" w:ascii="仿宋" w:hAnsi="仿宋" w:eastAsia="仿宋" w:cs="仿宋"/>
          <w:sz w:val="22"/>
          <w:szCs w:val="22"/>
          <w:highlight w:val="none"/>
        </w:rPr>
        <w:t>乙方按照工程图纸、施工说明等组织施工。</w:t>
      </w:r>
    </w:p>
    <w:p w14:paraId="2555D786">
      <w:pPr>
        <w:snapToGrid w:val="0"/>
        <w:spacing w:line="360" w:lineRule="auto"/>
        <w:ind w:firstLine="539"/>
        <w:rPr>
          <w:rFonts w:hint="eastAsia" w:ascii="仿宋" w:hAnsi="仿宋" w:eastAsia="仿宋" w:cs="仿宋"/>
          <w:sz w:val="22"/>
          <w:szCs w:val="22"/>
          <w:highlight w:val="none"/>
        </w:rPr>
      </w:pPr>
      <w:r>
        <w:rPr>
          <w:rFonts w:hint="eastAsia" w:ascii="仿宋" w:hAnsi="仿宋" w:eastAsia="仿宋" w:cs="仿宋"/>
          <w:sz w:val="22"/>
          <w:szCs w:val="22"/>
          <w:highlight w:val="none"/>
        </w:rPr>
        <w:t>三</w:t>
      </w:r>
      <w:r>
        <w:rPr>
          <w:rFonts w:hint="eastAsia" w:ascii="仿宋" w:hAnsi="仿宋" w:eastAsia="仿宋" w:cs="仿宋"/>
          <w:sz w:val="22"/>
          <w:szCs w:val="22"/>
          <w:highlight w:val="none"/>
          <w:lang w:val="en-US" w:eastAsia="zh-CN"/>
        </w:rPr>
        <w:t>.</w:t>
      </w:r>
      <w:r>
        <w:rPr>
          <w:rFonts w:hint="eastAsia" w:ascii="仿宋" w:hAnsi="仿宋" w:eastAsia="仿宋" w:cs="仿宋"/>
          <w:sz w:val="22"/>
          <w:szCs w:val="22"/>
          <w:highlight w:val="none"/>
        </w:rPr>
        <w:t>涉及隐蔽工程的，在工程隐蔽前，乙方应当通知甲方到场验收。验收不合格的，乙方应整改后重新验收。</w:t>
      </w:r>
    </w:p>
    <w:p w14:paraId="5F9B4672">
      <w:pPr>
        <w:snapToGrid w:val="0"/>
        <w:spacing w:line="360" w:lineRule="auto"/>
        <w:ind w:firstLine="539"/>
        <w:rPr>
          <w:rFonts w:hint="eastAsia" w:ascii="仿宋" w:hAnsi="仿宋" w:eastAsia="仿宋" w:cs="仿宋"/>
          <w:sz w:val="22"/>
          <w:szCs w:val="22"/>
          <w:highlight w:val="none"/>
        </w:rPr>
      </w:pPr>
      <w:r>
        <w:rPr>
          <w:rFonts w:hint="eastAsia" w:ascii="仿宋" w:hAnsi="仿宋" w:eastAsia="仿宋" w:cs="仿宋"/>
          <w:sz w:val="22"/>
          <w:szCs w:val="22"/>
          <w:highlight w:val="none"/>
        </w:rPr>
        <w:t>四</w:t>
      </w:r>
      <w:r>
        <w:rPr>
          <w:rFonts w:hint="eastAsia" w:ascii="仿宋" w:hAnsi="仿宋" w:eastAsia="仿宋" w:cs="仿宋"/>
          <w:sz w:val="22"/>
          <w:szCs w:val="22"/>
          <w:highlight w:val="none"/>
          <w:lang w:val="en-US" w:eastAsia="zh-CN"/>
        </w:rPr>
        <w:t>.</w:t>
      </w:r>
      <w:r>
        <w:rPr>
          <w:rFonts w:hint="eastAsia" w:ascii="仿宋" w:hAnsi="仿宋" w:eastAsia="仿宋" w:cs="仿宋"/>
          <w:sz w:val="22"/>
          <w:szCs w:val="22"/>
          <w:highlight w:val="none"/>
        </w:rPr>
        <w:t>乙方保证工程符合国家工程建设相关技术标准。</w:t>
      </w:r>
    </w:p>
    <w:p w14:paraId="49ABA77A">
      <w:pPr>
        <w:snapToGrid w:val="0"/>
        <w:spacing w:line="360" w:lineRule="auto"/>
        <w:ind w:firstLine="539"/>
        <w:rPr>
          <w:rFonts w:hint="eastAsia" w:ascii="仿宋" w:hAnsi="仿宋" w:eastAsia="仿宋" w:cs="仿宋"/>
          <w:sz w:val="22"/>
          <w:szCs w:val="22"/>
          <w:highlight w:val="none"/>
        </w:rPr>
      </w:pPr>
      <w:r>
        <w:rPr>
          <w:rFonts w:hint="eastAsia" w:ascii="仿宋" w:hAnsi="仿宋" w:eastAsia="仿宋" w:cs="仿宋"/>
          <w:sz w:val="22"/>
          <w:szCs w:val="22"/>
          <w:highlight w:val="none"/>
        </w:rPr>
        <w:t>五</w:t>
      </w:r>
      <w:r>
        <w:rPr>
          <w:rFonts w:hint="eastAsia" w:ascii="仿宋" w:hAnsi="仿宋" w:eastAsia="仿宋" w:cs="仿宋"/>
          <w:sz w:val="22"/>
          <w:szCs w:val="22"/>
          <w:highlight w:val="none"/>
          <w:lang w:val="en-US" w:eastAsia="zh-CN"/>
        </w:rPr>
        <w:t>.</w:t>
      </w:r>
      <w:r>
        <w:rPr>
          <w:rFonts w:hint="eastAsia" w:ascii="仿宋" w:hAnsi="仿宋" w:eastAsia="仿宋" w:cs="仿宋"/>
          <w:sz w:val="22"/>
          <w:szCs w:val="22"/>
          <w:highlight w:val="none"/>
        </w:rPr>
        <w:t>本工程使用的材料必须符合国家相关质量标准的规定。</w:t>
      </w:r>
    </w:p>
    <w:p w14:paraId="3CE344BD">
      <w:pPr>
        <w:snapToGrid w:val="0"/>
        <w:spacing w:line="360" w:lineRule="auto"/>
        <w:ind w:firstLine="539"/>
        <w:rPr>
          <w:rFonts w:hint="eastAsia" w:ascii="仿宋" w:hAnsi="仿宋" w:eastAsia="仿宋" w:cs="仿宋"/>
          <w:sz w:val="22"/>
          <w:szCs w:val="22"/>
          <w:highlight w:val="none"/>
        </w:rPr>
      </w:pPr>
      <w:r>
        <w:rPr>
          <w:rFonts w:hint="eastAsia" w:ascii="仿宋" w:hAnsi="仿宋" w:eastAsia="仿宋" w:cs="仿宋"/>
          <w:sz w:val="22"/>
          <w:szCs w:val="22"/>
          <w:highlight w:val="none"/>
        </w:rPr>
        <w:t>第八条验收</w:t>
      </w:r>
    </w:p>
    <w:p w14:paraId="130C687E">
      <w:pPr>
        <w:snapToGrid w:val="0"/>
        <w:spacing w:line="360" w:lineRule="auto"/>
        <w:ind w:firstLine="539"/>
        <w:rPr>
          <w:rFonts w:hint="eastAsia" w:ascii="仿宋" w:hAnsi="仿宋" w:eastAsia="仿宋" w:cs="仿宋"/>
          <w:sz w:val="22"/>
          <w:szCs w:val="22"/>
          <w:highlight w:val="none"/>
        </w:rPr>
      </w:pPr>
      <w:r>
        <w:rPr>
          <w:rFonts w:hint="eastAsia" w:ascii="仿宋" w:hAnsi="仿宋" w:eastAsia="仿宋" w:cs="仿宋"/>
          <w:sz w:val="22"/>
          <w:szCs w:val="22"/>
          <w:highlight w:val="none"/>
        </w:rPr>
        <w:t>一</w:t>
      </w:r>
      <w:r>
        <w:rPr>
          <w:rFonts w:hint="eastAsia" w:ascii="仿宋" w:hAnsi="仿宋" w:eastAsia="仿宋" w:cs="仿宋"/>
          <w:sz w:val="22"/>
          <w:szCs w:val="22"/>
          <w:highlight w:val="none"/>
          <w:lang w:val="en-US" w:eastAsia="zh-CN"/>
        </w:rPr>
        <w:t>.</w:t>
      </w:r>
      <w:r>
        <w:rPr>
          <w:rFonts w:hint="eastAsia" w:ascii="仿宋" w:hAnsi="仿宋" w:eastAsia="仿宋" w:cs="仿宋"/>
          <w:sz w:val="22"/>
          <w:szCs w:val="22"/>
          <w:highlight w:val="none"/>
        </w:rPr>
        <w:t>工程完工后，乙方应通知甲方验收，甲方自接到验收通知七日内组织甲乙双方共同验收。</w:t>
      </w:r>
    </w:p>
    <w:p w14:paraId="1693FCB7">
      <w:pPr>
        <w:snapToGrid w:val="0"/>
        <w:spacing w:line="360" w:lineRule="auto"/>
        <w:ind w:firstLine="539"/>
        <w:rPr>
          <w:rFonts w:hint="eastAsia" w:ascii="仿宋" w:hAnsi="仿宋" w:eastAsia="仿宋" w:cs="仿宋"/>
          <w:sz w:val="22"/>
          <w:szCs w:val="22"/>
          <w:highlight w:val="none"/>
        </w:rPr>
      </w:pPr>
      <w:r>
        <w:rPr>
          <w:rFonts w:hint="eastAsia" w:ascii="仿宋" w:hAnsi="仿宋" w:eastAsia="仿宋" w:cs="仿宋"/>
          <w:sz w:val="22"/>
          <w:szCs w:val="22"/>
          <w:highlight w:val="none"/>
        </w:rPr>
        <w:t>二</w:t>
      </w:r>
      <w:r>
        <w:rPr>
          <w:rFonts w:hint="eastAsia" w:ascii="仿宋" w:hAnsi="仿宋" w:eastAsia="仿宋" w:cs="仿宋"/>
          <w:sz w:val="22"/>
          <w:szCs w:val="22"/>
          <w:highlight w:val="none"/>
          <w:lang w:val="en-US" w:eastAsia="zh-CN"/>
        </w:rPr>
        <w:t>.</w:t>
      </w:r>
      <w:r>
        <w:rPr>
          <w:rFonts w:hint="eastAsia" w:ascii="仿宋" w:hAnsi="仿宋" w:eastAsia="仿宋" w:cs="仿宋"/>
          <w:sz w:val="22"/>
          <w:szCs w:val="22"/>
          <w:highlight w:val="none"/>
        </w:rPr>
        <w:t>本工程由甲乙双方以施工图纸、设计说明相关标准、规范为标准共同验收。如未达到合同规定的验收质量标准乙方在指定期限内无偿返工。</w:t>
      </w:r>
    </w:p>
    <w:p w14:paraId="69B206C4">
      <w:pPr>
        <w:snapToGrid w:val="0"/>
        <w:spacing w:line="360" w:lineRule="auto"/>
        <w:ind w:firstLine="539"/>
        <w:rPr>
          <w:rFonts w:hint="eastAsia" w:ascii="仿宋" w:hAnsi="仿宋" w:eastAsia="仿宋" w:cs="仿宋"/>
          <w:sz w:val="22"/>
          <w:szCs w:val="22"/>
          <w:highlight w:val="none"/>
        </w:rPr>
      </w:pPr>
      <w:r>
        <w:rPr>
          <w:rFonts w:hint="eastAsia" w:ascii="仿宋" w:hAnsi="仿宋" w:eastAsia="仿宋" w:cs="仿宋"/>
          <w:sz w:val="22"/>
          <w:szCs w:val="22"/>
          <w:highlight w:val="none"/>
        </w:rPr>
        <w:t>第九条质量保修</w:t>
      </w:r>
    </w:p>
    <w:p w14:paraId="5CF041AA">
      <w:pPr>
        <w:snapToGrid w:val="0"/>
        <w:spacing w:line="360" w:lineRule="auto"/>
        <w:ind w:firstLine="539"/>
        <w:rPr>
          <w:rFonts w:hint="eastAsia" w:ascii="仿宋" w:hAnsi="仿宋" w:eastAsia="仿宋" w:cs="仿宋"/>
          <w:sz w:val="22"/>
          <w:szCs w:val="22"/>
          <w:highlight w:val="none"/>
        </w:rPr>
      </w:pPr>
      <w:r>
        <w:rPr>
          <w:rFonts w:hint="eastAsia" w:ascii="仿宋" w:hAnsi="仿宋" w:eastAsia="仿宋" w:cs="仿宋"/>
          <w:sz w:val="22"/>
          <w:szCs w:val="22"/>
          <w:highlight w:val="none"/>
        </w:rPr>
        <w:t>一</w:t>
      </w:r>
      <w:r>
        <w:rPr>
          <w:rFonts w:hint="eastAsia" w:ascii="仿宋" w:hAnsi="仿宋" w:eastAsia="仿宋" w:cs="仿宋"/>
          <w:sz w:val="22"/>
          <w:szCs w:val="22"/>
          <w:highlight w:val="none"/>
          <w:lang w:val="en-US" w:eastAsia="zh-CN"/>
        </w:rPr>
        <w:t>.</w:t>
      </w:r>
      <w:r>
        <w:rPr>
          <w:rFonts w:hint="eastAsia" w:ascii="仿宋" w:hAnsi="仿宋" w:eastAsia="仿宋" w:cs="仿宋"/>
          <w:sz w:val="22"/>
          <w:szCs w:val="22"/>
          <w:highlight w:val="none"/>
        </w:rPr>
        <w:t>乙方负责该区域内建设施工期内的保修，并作出质量保修承诺。若乙方不负责保修，甲方有权从其工程款中扣回应由乙方保修的费用，乙方不得质疑。</w:t>
      </w:r>
    </w:p>
    <w:p w14:paraId="097318DC">
      <w:pPr>
        <w:snapToGrid w:val="0"/>
        <w:spacing w:line="360" w:lineRule="auto"/>
        <w:ind w:firstLine="539"/>
        <w:rPr>
          <w:rFonts w:hint="eastAsia" w:ascii="仿宋" w:hAnsi="仿宋" w:eastAsia="仿宋" w:cs="仿宋"/>
          <w:sz w:val="22"/>
          <w:szCs w:val="22"/>
          <w:highlight w:val="none"/>
        </w:rPr>
      </w:pPr>
      <w:r>
        <w:rPr>
          <w:rFonts w:hint="eastAsia" w:ascii="仿宋" w:hAnsi="仿宋" w:eastAsia="仿宋" w:cs="仿宋"/>
          <w:sz w:val="22"/>
          <w:szCs w:val="22"/>
          <w:highlight w:val="none"/>
        </w:rPr>
        <w:t>二</w:t>
      </w:r>
      <w:r>
        <w:rPr>
          <w:rFonts w:hint="eastAsia" w:ascii="仿宋" w:hAnsi="仿宋" w:eastAsia="仿宋" w:cs="仿宋"/>
          <w:sz w:val="22"/>
          <w:szCs w:val="22"/>
          <w:highlight w:val="none"/>
          <w:lang w:val="en-US" w:eastAsia="zh-CN"/>
        </w:rPr>
        <w:t>.</w:t>
      </w:r>
      <w:r>
        <w:rPr>
          <w:rFonts w:hint="eastAsia" w:ascii="仿宋" w:hAnsi="仿宋" w:eastAsia="仿宋" w:cs="仿宋"/>
          <w:sz w:val="22"/>
          <w:szCs w:val="22"/>
          <w:highlight w:val="none"/>
        </w:rPr>
        <w:t>本工程质保期</w:t>
      </w:r>
      <w:r>
        <w:rPr>
          <w:rFonts w:hint="eastAsia" w:ascii="仿宋" w:hAnsi="仿宋" w:eastAsia="仿宋" w:cs="仿宋"/>
          <w:sz w:val="22"/>
          <w:szCs w:val="22"/>
          <w:highlight w:val="none"/>
          <w:lang w:val="en-US" w:eastAsia="zh-CN"/>
        </w:rPr>
        <w:t>不低于国家行业规定实施标准</w:t>
      </w:r>
      <w:r>
        <w:rPr>
          <w:rFonts w:hint="eastAsia" w:ascii="仿宋" w:hAnsi="仿宋" w:eastAsia="仿宋" w:cs="仿宋"/>
          <w:sz w:val="22"/>
          <w:szCs w:val="22"/>
          <w:highlight w:val="none"/>
        </w:rPr>
        <w:t>。</w:t>
      </w:r>
    </w:p>
    <w:p w14:paraId="574922D7">
      <w:pPr>
        <w:snapToGrid w:val="0"/>
        <w:spacing w:line="360" w:lineRule="auto"/>
        <w:ind w:firstLine="539"/>
        <w:rPr>
          <w:rFonts w:hint="eastAsia" w:ascii="仿宋" w:hAnsi="仿宋" w:eastAsia="仿宋" w:cs="仿宋"/>
          <w:sz w:val="22"/>
          <w:szCs w:val="22"/>
          <w:highlight w:val="none"/>
        </w:rPr>
      </w:pPr>
      <w:r>
        <w:rPr>
          <w:rFonts w:hint="eastAsia" w:ascii="仿宋" w:hAnsi="仿宋" w:eastAsia="仿宋" w:cs="仿宋"/>
          <w:sz w:val="22"/>
          <w:szCs w:val="22"/>
          <w:highlight w:val="none"/>
        </w:rPr>
        <w:t>第十条甲方权利和义务</w:t>
      </w:r>
    </w:p>
    <w:p w14:paraId="684F9EA1">
      <w:pPr>
        <w:snapToGrid w:val="0"/>
        <w:spacing w:line="360" w:lineRule="auto"/>
        <w:ind w:firstLine="539"/>
        <w:rPr>
          <w:rFonts w:hint="eastAsia" w:ascii="仿宋" w:hAnsi="仿宋" w:eastAsia="仿宋" w:cs="仿宋"/>
          <w:sz w:val="22"/>
          <w:szCs w:val="22"/>
          <w:highlight w:val="none"/>
        </w:rPr>
      </w:pPr>
      <w:r>
        <w:rPr>
          <w:rFonts w:hint="eastAsia" w:ascii="仿宋" w:hAnsi="仿宋" w:eastAsia="仿宋" w:cs="仿宋"/>
          <w:sz w:val="22"/>
          <w:szCs w:val="22"/>
          <w:highlight w:val="none"/>
        </w:rPr>
        <w:t>一</w:t>
      </w:r>
      <w:r>
        <w:rPr>
          <w:rFonts w:hint="eastAsia" w:ascii="仿宋" w:hAnsi="仿宋" w:eastAsia="仿宋" w:cs="仿宋"/>
          <w:sz w:val="22"/>
          <w:szCs w:val="22"/>
          <w:highlight w:val="none"/>
          <w:lang w:val="en-US" w:eastAsia="zh-CN"/>
        </w:rPr>
        <w:t>.</w:t>
      </w:r>
      <w:r>
        <w:rPr>
          <w:rFonts w:hint="eastAsia" w:ascii="仿宋" w:hAnsi="仿宋" w:eastAsia="仿宋" w:cs="仿宋"/>
          <w:sz w:val="22"/>
          <w:szCs w:val="22"/>
          <w:highlight w:val="none"/>
        </w:rPr>
        <w:t>开工前向乙方进行现场交底，交底应经双方现场确认。</w:t>
      </w:r>
    </w:p>
    <w:p w14:paraId="4001618A">
      <w:pPr>
        <w:snapToGrid w:val="0"/>
        <w:spacing w:line="360" w:lineRule="auto"/>
        <w:ind w:firstLine="539"/>
        <w:rPr>
          <w:rFonts w:hint="eastAsia" w:ascii="仿宋" w:hAnsi="仿宋" w:eastAsia="仿宋" w:cs="仿宋"/>
          <w:sz w:val="22"/>
          <w:szCs w:val="22"/>
          <w:highlight w:val="none"/>
        </w:rPr>
      </w:pPr>
      <w:r>
        <w:rPr>
          <w:rFonts w:hint="eastAsia" w:ascii="仿宋" w:hAnsi="仿宋" w:eastAsia="仿宋" w:cs="仿宋"/>
          <w:sz w:val="22"/>
          <w:szCs w:val="22"/>
          <w:highlight w:val="none"/>
        </w:rPr>
        <w:t>二</w:t>
      </w:r>
      <w:r>
        <w:rPr>
          <w:rFonts w:hint="eastAsia" w:ascii="仿宋" w:hAnsi="仿宋" w:eastAsia="仿宋" w:cs="仿宋"/>
          <w:sz w:val="22"/>
          <w:szCs w:val="22"/>
          <w:highlight w:val="none"/>
          <w:lang w:val="en-US" w:eastAsia="zh-CN"/>
        </w:rPr>
        <w:t>.</w:t>
      </w:r>
      <w:r>
        <w:rPr>
          <w:rFonts w:hint="eastAsia" w:ascii="仿宋" w:hAnsi="仿宋" w:eastAsia="仿宋" w:cs="仿宋"/>
          <w:sz w:val="22"/>
          <w:szCs w:val="22"/>
          <w:highlight w:val="none"/>
        </w:rPr>
        <w:t>工程甲方代表，对工程质量、进度进行监督并负责确认工程。</w:t>
      </w:r>
    </w:p>
    <w:p w14:paraId="47FFA2EE">
      <w:pPr>
        <w:snapToGrid w:val="0"/>
        <w:spacing w:line="360" w:lineRule="auto"/>
        <w:ind w:firstLine="539"/>
        <w:rPr>
          <w:rFonts w:hint="eastAsia" w:ascii="仿宋" w:hAnsi="仿宋" w:eastAsia="仿宋" w:cs="仿宋"/>
          <w:sz w:val="22"/>
          <w:szCs w:val="22"/>
          <w:highlight w:val="none"/>
        </w:rPr>
      </w:pPr>
      <w:r>
        <w:rPr>
          <w:rFonts w:hint="eastAsia" w:ascii="仿宋" w:hAnsi="仿宋" w:eastAsia="仿宋" w:cs="仿宋"/>
          <w:sz w:val="22"/>
          <w:szCs w:val="22"/>
          <w:highlight w:val="none"/>
        </w:rPr>
        <w:t>第十一条乙方权利和义务</w:t>
      </w:r>
    </w:p>
    <w:p w14:paraId="63EDF505">
      <w:pPr>
        <w:snapToGrid w:val="0"/>
        <w:spacing w:line="360" w:lineRule="auto"/>
        <w:ind w:firstLine="539"/>
        <w:rPr>
          <w:rFonts w:hint="eastAsia" w:ascii="仿宋" w:hAnsi="仿宋" w:eastAsia="仿宋" w:cs="仿宋"/>
          <w:sz w:val="22"/>
          <w:szCs w:val="22"/>
          <w:highlight w:val="none"/>
        </w:rPr>
      </w:pPr>
      <w:r>
        <w:rPr>
          <w:rFonts w:hint="eastAsia" w:ascii="仿宋" w:hAnsi="仿宋" w:eastAsia="仿宋" w:cs="仿宋"/>
          <w:sz w:val="22"/>
          <w:szCs w:val="22"/>
          <w:highlight w:val="none"/>
        </w:rPr>
        <w:t>一</w:t>
      </w:r>
      <w:r>
        <w:rPr>
          <w:rFonts w:hint="eastAsia" w:ascii="仿宋" w:hAnsi="仿宋" w:eastAsia="仿宋" w:cs="仿宋"/>
          <w:sz w:val="22"/>
          <w:szCs w:val="22"/>
          <w:highlight w:val="none"/>
          <w:lang w:val="en-US" w:eastAsia="zh-CN"/>
        </w:rPr>
        <w:t>.</w:t>
      </w:r>
      <w:r>
        <w:rPr>
          <w:rFonts w:hint="eastAsia" w:ascii="仿宋" w:hAnsi="仿宋" w:eastAsia="仿宋" w:cs="仿宋"/>
          <w:sz w:val="22"/>
          <w:szCs w:val="22"/>
          <w:highlight w:val="none"/>
        </w:rPr>
        <w:t>乙方配合有关部门做好现场安全防护、安全设施和垃圾处理等工作。</w:t>
      </w:r>
    </w:p>
    <w:p w14:paraId="1062E252">
      <w:pPr>
        <w:snapToGrid w:val="0"/>
        <w:spacing w:line="360" w:lineRule="auto"/>
        <w:ind w:firstLine="539"/>
        <w:rPr>
          <w:rFonts w:hint="eastAsia" w:ascii="仿宋" w:hAnsi="仿宋" w:eastAsia="仿宋" w:cs="仿宋"/>
          <w:sz w:val="22"/>
          <w:szCs w:val="22"/>
          <w:highlight w:val="none"/>
        </w:rPr>
      </w:pPr>
      <w:r>
        <w:rPr>
          <w:rFonts w:hint="eastAsia" w:ascii="仿宋" w:hAnsi="仿宋" w:eastAsia="仿宋" w:cs="仿宋"/>
          <w:sz w:val="22"/>
          <w:szCs w:val="22"/>
          <w:highlight w:val="none"/>
        </w:rPr>
        <w:t>二</w:t>
      </w:r>
      <w:r>
        <w:rPr>
          <w:rFonts w:hint="eastAsia" w:ascii="仿宋" w:hAnsi="仿宋" w:eastAsia="仿宋" w:cs="仿宋"/>
          <w:sz w:val="22"/>
          <w:szCs w:val="22"/>
          <w:highlight w:val="none"/>
          <w:lang w:val="en-US" w:eastAsia="zh-CN"/>
        </w:rPr>
        <w:t>.</w:t>
      </w:r>
      <w:r>
        <w:rPr>
          <w:rFonts w:hint="eastAsia" w:ascii="仿宋" w:hAnsi="仿宋" w:eastAsia="仿宋" w:cs="仿宋"/>
          <w:sz w:val="22"/>
          <w:szCs w:val="22"/>
          <w:highlight w:val="none"/>
        </w:rPr>
        <w:t>参加甲方组织的现场交底，配合形成书面交底文件。</w:t>
      </w:r>
    </w:p>
    <w:p w14:paraId="404527DE">
      <w:pPr>
        <w:snapToGrid w:val="0"/>
        <w:spacing w:line="360" w:lineRule="auto"/>
        <w:ind w:firstLine="539"/>
        <w:rPr>
          <w:rFonts w:hint="eastAsia" w:ascii="仿宋" w:hAnsi="仿宋" w:eastAsia="仿宋" w:cs="仿宋"/>
          <w:sz w:val="22"/>
          <w:szCs w:val="22"/>
          <w:highlight w:val="none"/>
        </w:rPr>
      </w:pPr>
      <w:r>
        <w:rPr>
          <w:rFonts w:hint="eastAsia" w:ascii="仿宋" w:hAnsi="仿宋" w:eastAsia="仿宋" w:cs="仿宋"/>
          <w:sz w:val="22"/>
          <w:szCs w:val="22"/>
          <w:highlight w:val="none"/>
        </w:rPr>
        <w:t>三</w:t>
      </w:r>
      <w:r>
        <w:rPr>
          <w:rFonts w:hint="eastAsia" w:ascii="仿宋" w:hAnsi="仿宋" w:eastAsia="仿宋" w:cs="仿宋"/>
          <w:sz w:val="22"/>
          <w:szCs w:val="22"/>
          <w:highlight w:val="none"/>
          <w:lang w:val="en-US" w:eastAsia="zh-CN"/>
        </w:rPr>
        <w:t>.</w:t>
      </w:r>
      <w:r>
        <w:rPr>
          <w:rFonts w:hint="eastAsia" w:ascii="仿宋" w:hAnsi="仿宋" w:eastAsia="仿宋" w:cs="仿宋"/>
          <w:sz w:val="22"/>
          <w:szCs w:val="22"/>
          <w:highlight w:val="none"/>
        </w:rPr>
        <w:t>遵守国家或地方政府对施工现场管理的规定，妥善保护好施工开挖过程中遇到的周围建筑物、设备管线。</w:t>
      </w:r>
    </w:p>
    <w:p w14:paraId="772DD3CB">
      <w:pPr>
        <w:snapToGrid w:val="0"/>
        <w:spacing w:line="360" w:lineRule="auto"/>
        <w:ind w:firstLine="539"/>
        <w:rPr>
          <w:rFonts w:hint="eastAsia" w:ascii="仿宋" w:hAnsi="仿宋" w:eastAsia="仿宋" w:cs="仿宋"/>
          <w:sz w:val="22"/>
          <w:szCs w:val="22"/>
          <w:highlight w:val="none"/>
        </w:rPr>
      </w:pPr>
      <w:r>
        <w:rPr>
          <w:rFonts w:hint="eastAsia" w:ascii="仿宋" w:hAnsi="仿宋" w:eastAsia="仿宋" w:cs="仿宋"/>
          <w:sz w:val="22"/>
          <w:szCs w:val="22"/>
          <w:highlight w:val="none"/>
        </w:rPr>
        <w:t>四</w:t>
      </w:r>
      <w:r>
        <w:rPr>
          <w:rFonts w:hint="eastAsia" w:ascii="仿宋" w:hAnsi="仿宋" w:eastAsia="仿宋" w:cs="仿宋"/>
          <w:sz w:val="22"/>
          <w:szCs w:val="22"/>
          <w:highlight w:val="none"/>
          <w:lang w:val="en-US" w:eastAsia="zh-CN"/>
        </w:rPr>
        <w:t>.</w:t>
      </w:r>
      <w:r>
        <w:rPr>
          <w:rFonts w:hint="eastAsia" w:ascii="仿宋" w:hAnsi="仿宋" w:eastAsia="仿宋" w:cs="仿宋"/>
          <w:sz w:val="22"/>
          <w:szCs w:val="22"/>
          <w:highlight w:val="none"/>
        </w:rPr>
        <w:t>乙方必须按照经甲方现场确认或甲方提供的施工图纸和甲方确认的安装方案、方法进行施工、安装，不得擅自改动如有变更以书面的变更通知单为准。</w:t>
      </w:r>
    </w:p>
    <w:p w14:paraId="4A5136EE">
      <w:pPr>
        <w:snapToGrid w:val="0"/>
        <w:spacing w:line="360" w:lineRule="auto"/>
        <w:ind w:firstLine="539"/>
        <w:rPr>
          <w:rFonts w:hint="eastAsia" w:ascii="仿宋" w:hAnsi="仿宋" w:eastAsia="仿宋" w:cs="仿宋"/>
          <w:sz w:val="22"/>
          <w:szCs w:val="22"/>
          <w:highlight w:val="none"/>
        </w:rPr>
      </w:pPr>
      <w:r>
        <w:rPr>
          <w:rFonts w:hint="eastAsia" w:ascii="仿宋" w:hAnsi="仿宋" w:eastAsia="仿宋" w:cs="仿宋"/>
          <w:sz w:val="22"/>
          <w:szCs w:val="22"/>
          <w:highlight w:val="none"/>
        </w:rPr>
        <w:t>五</w:t>
      </w:r>
      <w:r>
        <w:rPr>
          <w:rFonts w:hint="eastAsia" w:ascii="仿宋" w:hAnsi="仿宋" w:eastAsia="仿宋" w:cs="仿宋"/>
          <w:sz w:val="22"/>
          <w:szCs w:val="22"/>
          <w:highlight w:val="none"/>
          <w:lang w:val="en-US" w:eastAsia="zh-CN"/>
        </w:rPr>
        <w:t>.</w:t>
      </w:r>
      <w:r>
        <w:rPr>
          <w:rFonts w:hint="eastAsia" w:ascii="仿宋" w:hAnsi="仿宋" w:eastAsia="仿宋" w:cs="仿宋"/>
          <w:sz w:val="22"/>
          <w:szCs w:val="22"/>
          <w:highlight w:val="none"/>
        </w:rPr>
        <w:t>农民工工资支付办法按照相关政策规定执行。乙方必须严格履行国家有关解决拖欠农民工工资的法律和政策规定,按时足额支付农民工工资。乙方完全承担因拖欠农民工工资而产生的一切法律责任和经济赔偿责任。</w:t>
      </w:r>
    </w:p>
    <w:p w14:paraId="524C7C21">
      <w:pPr>
        <w:snapToGrid w:val="0"/>
        <w:spacing w:line="360" w:lineRule="auto"/>
        <w:ind w:firstLine="539"/>
        <w:rPr>
          <w:rFonts w:hint="eastAsia" w:ascii="仿宋" w:hAnsi="仿宋" w:eastAsia="仿宋" w:cs="仿宋"/>
          <w:sz w:val="22"/>
          <w:szCs w:val="22"/>
          <w:highlight w:val="none"/>
        </w:rPr>
      </w:pPr>
      <w:r>
        <w:rPr>
          <w:rFonts w:hint="eastAsia" w:ascii="仿宋" w:hAnsi="仿宋" w:eastAsia="仿宋" w:cs="仿宋"/>
          <w:sz w:val="22"/>
          <w:szCs w:val="22"/>
          <w:highlight w:val="none"/>
        </w:rPr>
        <w:t>六</w:t>
      </w:r>
      <w:r>
        <w:rPr>
          <w:rFonts w:hint="eastAsia" w:ascii="仿宋" w:hAnsi="仿宋" w:eastAsia="仿宋" w:cs="仿宋"/>
          <w:sz w:val="22"/>
          <w:szCs w:val="22"/>
          <w:highlight w:val="none"/>
          <w:lang w:val="en-US" w:eastAsia="zh-CN"/>
        </w:rPr>
        <w:t>.</w:t>
      </w:r>
      <w:r>
        <w:rPr>
          <w:rFonts w:hint="eastAsia" w:ascii="仿宋" w:hAnsi="仿宋" w:eastAsia="仿宋" w:cs="仿宋"/>
          <w:sz w:val="22"/>
          <w:szCs w:val="22"/>
          <w:highlight w:val="none"/>
        </w:rPr>
        <w:t>乙方必须严格按照国家安全生产相关规范进行施工，在施工过程中违反有关安全操作规程或条例等原因导致发生的质量事故、安全事故，乙方承担全部责任及由此造成的一切损失。甲方不负责任何连带责任。</w:t>
      </w:r>
    </w:p>
    <w:p w14:paraId="4651CCEB">
      <w:pPr>
        <w:snapToGrid w:val="0"/>
        <w:spacing w:line="360" w:lineRule="auto"/>
        <w:ind w:firstLine="539"/>
        <w:rPr>
          <w:rFonts w:hint="eastAsia" w:ascii="仿宋" w:hAnsi="仿宋" w:eastAsia="仿宋" w:cs="仿宋"/>
          <w:sz w:val="22"/>
          <w:szCs w:val="22"/>
          <w:highlight w:val="none"/>
        </w:rPr>
      </w:pPr>
      <w:r>
        <w:rPr>
          <w:rFonts w:hint="eastAsia" w:ascii="仿宋" w:hAnsi="仿宋" w:eastAsia="仿宋" w:cs="仿宋"/>
          <w:sz w:val="22"/>
          <w:szCs w:val="22"/>
          <w:highlight w:val="none"/>
        </w:rPr>
        <w:t>七</w:t>
      </w:r>
      <w:r>
        <w:rPr>
          <w:rFonts w:hint="eastAsia" w:ascii="仿宋" w:hAnsi="仿宋" w:eastAsia="仿宋" w:cs="仿宋"/>
          <w:sz w:val="22"/>
          <w:szCs w:val="22"/>
          <w:highlight w:val="none"/>
          <w:lang w:val="en-US" w:eastAsia="zh-CN"/>
        </w:rPr>
        <w:t>.</w:t>
      </w:r>
      <w:r>
        <w:rPr>
          <w:rFonts w:hint="eastAsia" w:ascii="仿宋" w:hAnsi="仿宋" w:eastAsia="仿宋" w:cs="仿宋"/>
          <w:sz w:val="22"/>
          <w:szCs w:val="22"/>
          <w:highlight w:val="none"/>
        </w:rPr>
        <w:t>本工程中凡认质认价材料必须经甲方签字确认后方可进场使用，否则，乙方承担一切经济损失，工期不顺延。其他材料必须符合国家相关质量标准的规定，否则，甲方有权责令乙方停止使用，由此造成的一切损失均由乙方承担，工期不顺延。</w:t>
      </w:r>
    </w:p>
    <w:p w14:paraId="5F0F636A">
      <w:pPr>
        <w:snapToGrid w:val="0"/>
        <w:spacing w:line="360" w:lineRule="auto"/>
        <w:ind w:firstLine="539"/>
        <w:rPr>
          <w:rFonts w:hint="eastAsia" w:ascii="仿宋" w:hAnsi="仿宋" w:eastAsia="仿宋" w:cs="仿宋"/>
          <w:sz w:val="22"/>
          <w:szCs w:val="22"/>
          <w:highlight w:val="none"/>
        </w:rPr>
      </w:pPr>
      <w:r>
        <w:rPr>
          <w:rFonts w:hint="eastAsia" w:ascii="仿宋" w:hAnsi="仿宋" w:eastAsia="仿宋" w:cs="仿宋"/>
          <w:sz w:val="22"/>
          <w:szCs w:val="22"/>
          <w:highlight w:val="none"/>
        </w:rPr>
        <w:t>八</w:t>
      </w:r>
      <w:r>
        <w:rPr>
          <w:rFonts w:hint="eastAsia" w:ascii="仿宋" w:hAnsi="仿宋" w:eastAsia="仿宋" w:cs="仿宋"/>
          <w:sz w:val="22"/>
          <w:szCs w:val="22"/>
          <w:highlight w:val="none"/>
          <w:lang w:val="en-US" w:eastAsia="zh-CN"/>
        </w:rPr>
        <w:t>.</w:t>
      </w:r>
      <w:r>
        <w:rPr>
          <w:rFonts w:hint="eastAsia" w:ascii="仿宋" w:hAnsi="仿宋" w:eastAsia="仿宋" w:cs="仿宋"/>
          <w:sz w:val="22"/>
          <w:szCs w:val="22"/>
          <w:highlight w:val="none"/>
        </w:rPr>
        <w:t>乙方在施工过程中，若因乙方原因而影响施工的一切行为均由乙方自行解决，不得因此而影响施工进度，且不能转嫁给甲方，由此造成的一切费用均由乙方承担。</w:t>
      </w:r>
    </w:p>
    <w:p w14:paraId="5911840D">
      <w:pPr>
        <w:snapToGrid w:val="0"/>
        <w:spacing w:line="360" w:lineRule="auto"/>
        <w:ind w:firstLine="539"/>
        <w:rPr>
          <w:rFonts w:hint="eastAsia" w:ascii="仿宋" w:hAnsi="仿宋" w:eastAsia="仿宋" w:cs="仿宋"/>
          <w:sz w:val="22"/>
          <w:szCs w:val="22"/>
          <w:highlight w:val="none"/>
        </w:rPr>
      </w:pPr>
      <w:r>
        <w:rPr>
          <w:rFonts w:hint="eastAsia" w:ascii="仿宋" w:hAnsi="仿宋" w:eastAsia="仿宋" w:cs="仿宋"/>
          <w:sz w:val="22"/>
          <w:szCs w:val="22"/>
          <w:highlight w:val="none"/>
        </w:rPr>
        <w:t>第十二条违约责任</w:t>
      </w:r>
    </w:p>
    <w:p w14:paraId="0C68CE47">
      <w:pPr>
        <w:snapToGrid w:val="0"/>
        <w:spacing w:line="360" w:lineRule="auto"/>
        <w:ind w:firstLine="539"/>
        <w:rPr>
          <w:rFonts w:hint="eastAsia" w:ascii="仿宋" w:hAnsi="仿宋" w:eastAsia="仿宋" w:cs="仿宋"/>
          <w:sz w:val="22"/>
          <w:szCs w:val="22"/>
          <w:highlight w:val="none"/>
        </w:rPr>
      </w:pPr>
      <w:r>
        <w:rPr>
          <w:rFonts w:hint="eastAsia" w:ascii="仿宋" w:hAnsi="仿宋" w:eastAsia="仿宋" w:cs="仿宋"/>
          <w:sz w:val="22"/>
          <w:szCs w:val="22"/>
          <w:highlight w:val="none"/>
        </w:rPr>
        <w:t>由于乙方原因逾期完工的，每逾期一日，乙方支付甲方本</w:t>
      </w:r>
      <w:r>
        <w:rPr>
          <w:rFonts w:hint="eastAsia" w:ascii="仿宋" w:hAnsi="仿宋" w:eastAsia="仿宋" w:cs="仿宋"/>
          <w:sz w:val="22"/>
          <w:szCs w:val="22"/>
          <w:highlight w:val="none"/>
          <w:lang w:val="en-US" w:eastAsia="zh-CN"/>
        </w:rPr>
        <w:t>工</w:t>
      </w:r>
      <w:r>
        <w:rPr>
          <w:rFonts w:hint="eastAsia" w:ascii="仿宋" w:hAnsi="仿宋" w:eastAsia="仿宋" w:cs="仿宋"/>
          <w:sz w:val="22"/>
          <w:szCs w:val="22"/>
          <w:highlight w:val="none"/>
        </w:rPr>
        <w:t>程价款5‰的违约金。</w:t>
      </w:r>
    </w:p>
    <w:p w14:paraId="6599ABE5">
      <w:pPr>
        <w:snapToGrid w:val="0"/>
        <w:spacing w:line="360" w:lineRule="auto"/>
        <w:ind w:firstLine="539"/>
        <w:rPr>
          <w:rFonts w:hint="eastAsia" w:ascii="仿宋" w:hAnsi="仿宋" w:eastAsia="仿宋" w:cs="仿宋"/>
          <w:sz w:val="22"/>
          <w:szCs w:val="22"/>
          <w:highlight w:val="none"/>
        </w:rPr>
      </w:pPr>
      <w:r>
        <w:rPr>
          <w:rFonts w:hint="eastAsia" w:ascii="仿宋" w:hAnsi="仿宋" w:eastAsia="仿宋" w:cs="仿宋"/>
          <w:sz w:val="22"/>
          <w:szCs w:val="22"/>
          <w:highlight w:val="none"/>
        </w:rPr>
        <w:t>第十三条合同的生效</w:t>
      </w:r>
    </w:p>
    <w:p w14:paraId="11F74861">
      <w:pPr>
        <w:snapToGrid w:val="0"/>
        <w:spacing w:line="360" w:lineRule="auto"/>
        <w:ind w:firstLine="539"/>
        <w:rPr>
          <w:rFonts w:hint="eastAsia" w:ascii="仿宋" w:hAnsi="仿宋" w:eastAsia="仿宋" w:cs="仿宋"/>
          <w:sz w:val="22"/>
          <w:szCs w:val="22"/>
          <w:highlight w:val="none"/>
        </w:rPr>
      </w:pPr>
      <w:r>
        <w:rPr>
          <w:rFonts w:hint="eastAsia" w:ascii="仿宋" w:hAnsi="仿宋" w:eastAsia="仿宋" w:cs="仿宋"/>
          <w:sz w:val="22"/>
          <w:szCs w:val="22"/>
          <w:highlight w:val="none"/>
        </w:rPr>
        <w:t>本合同自双方签字盖章之日起生效。合同所附附件与本合同具有同等效力。本合同一式陆份，双方各执叁份。</w:t>
      </w:r>
    </w:p>
    <w:p w14:paraId="6320475C">
      <w:pPr>
        <w:snapToGrid w:val="0"/>
        <w:spacing w:line="360" w:lineRule="auto"/>
        <w:ind w:firstLine="539"/>
        <w:rPr>
          <w:rFonts w:hint="eastAsia" w:ascii="仿宋" w:hAnsi="仿宋" w:eastAsia="仿宋" w:cs="仿宋"/>
          <w:sz w:val="22"/>
          <w:szCs w:val="22"/>
          <w:highlight w:val="none"/>
        </w:rPr>
      </w:pPr>
      <w:r>
        <w:rPr>
          <w:rFonts w:hint="eastAsia" w:ascii="仿宋" w:hAnsi="仿宋" w:eastAsia="仿宋" w:cs="仿宋"/>
          <w:sz w:val="22"/>
          <w:szCs w:val="22"/>
          <w:highlight w:val="none"/>
        </w:rPr>
        <w:t>第十四条争议解决方式</w:t>
      </w:r>
    </w:p>
    <w:p w14:paraId="393E3A7C">
      <w:pPr>
        <w:snapToGrid w:val="0"/>
        <w:spacing w:line="360" w:lineRule="auto"/>
        <w:ind w:firstLine="539"/>
        <w:rPr>
          <w:rFonts w:hint="eastAsia" w:ascii="仿宋" w:hAnsi="仿宋" w:eastAsia="仿宋" w:cs="仿宋"/>
          <w:sz w:val="22"/>
          <w:szCs w:val="22"/>
          <w:highlight w:val="none"/>
        </w:rPr>
      </w:pPr>
      <w:r>
        <w:rPr>
          <w:rFonts w:hint="eastAsia" w:ascii="仿宋" w:hAnsi="仿宋" w:eastAsia="仿宋" w:cs="仿宋"/>
          <w:sz w:val="22"/>
          <w:szCs w:val="22"/>
          <w:highlight w:val="none"/>
        </w:rPr>
        <w:t>双方发生争议的，可协商解决，或向有关部门申请调解或向合同履行地人民法院提起诉讼。</w:t>
      </w:r>
    </w:p>
    <w:p w14:paraId="4A71C0D2">
      <w:pPr>
        <w:spacing w:before="156" w:beforeLines="50" w:after="156" w:afterLines="50" w:line="360" w:lineRule="auto"/>
        <w:ind w:firstLine="440" w:firstLineChars="200"/>
        <w:rPr>
          <w:rFonts w:hint="eastAsia" w:ascii="仿宋" w:hAnsi="仿宋" w:eastAsia="仿宋" w:cs="仿宋"/>
          <w:sz w:val="22"/>
          <w:szCs w:val="22"/>
          <w:highlight w:val="none"/>
        </w:rPr>
      </w:pPr>
    </w:p>
    <w:p w14:paraId="00D1A74E">
      <w:pPr>
        <w:spacing w:before="156" w:beforeLines="50" w:after="156" w:afterLines="50"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甲方：（盖章）</w:t>
      </w:r>
      <w:r>
        <w:rPr>
          <w:rFonts w:hint="eastAsia" w:ascii="仿宋" w:hAnsi="仿宋" w:eastAsia="仿宋" w:cs="仿宋"/>
          <w:sz w:val="22"/>
          <w:szCs w:val="22"/>
          <w:highlight w:val="none"/>
          <w:lang w:val="en-US" w:eastAsia="zh-CN"/>
        </w:rPr>
        <w:t xml:space="preserve">                               </w:t>
      </w:r>
      <w:r>
        <w:rPr>
          <w:rFonts w:hint="eastAsia" w:ascii="仿宋" w:hAnsi="仿宋" w:eastAsia="仿宋" w:cs="仿宋"/>
          <w:sz w:val="22"/>
          <w:szCs w:val="22"/>
          <w:highlight w:val="none"/>
        </w:rPr>
        <w:t>乙方：（盖章）</w:t>
      </w:r>
    </w:p>
    <w:p w14:paraId="2A1C3EEF">
      <w:pPr>
        <w:spacing w:before="156" w:beforeLines="50" w:after="156" w:afterLines="50"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法定代表人/授权代表：</w:t>
      </w:r>
      <w:r>
        <w:rPr>
          <w:rFonts w:hint="eastAsia" w:ascii="仿宋" w:hAnsi="仿宋" w:eastAsia="仿宋" w:cs="仿宋"/>
          <w:sz w:val="22"/>
          <w:szCs w:val="22"/>
          <w:highlight w:val="none"/>
          <w:lang w:val="en-US" w:eastAsia="zh-CN"/>
        </w:rPr>
        <w:t xml:space="preserve">                        </w:t>
      </w:r>
      <w:r>
        <w:rPr>
          <w:rFonts w:hint="eastAsia" w:ascii="仿宋" w:hAnsi="仿宋" w:eastAsia="仿宋" w:cs="仿宋"/>
          <w:sz w:val="22"/>
          <w:szCs w:val="22"/>
          <w:highlight w:val="none"/>
        </w:rPr>
        <w:t>法定代表人/授权代表：</w:t>
      </w:r>
    </w:p>
    <w:p w14:paraId="0043895D">
      <w:pPr>
        <w:spacing w:before="156" w:beforeLines="50" w:after="156" w:afterLines="50"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地址：</w:t>
      </w:r>
      <w:r>
        <w:rPr>
          <w:rFonts w:hint="eastAsia" w:ascii="仿宋" w:hAnsi="仿宋" w:eastAsia="仿宋" w:cs="仿宋"/>
          <w:sz w:val="22"/>
          <w:szCs w:val="22"/>
          <w:highlight w:val="none"/>
          <w:lang w:val="en-US" w:eastAsia="zh-CN"/>
        </w:rPr>
        <w:t xml:space="preserve">                                       </w:t>
      </w:r>
      <w:r>
        <w:rPr>
          <w:rFonts w:hint="eastAsia" w:ascii="仿宋" w:hAnsi="仿宋" w:eastAsia="仿宋" w:cs="仿宋"/>
          <w:sz w:val="22"/>
          <w:szCs w:val="22"/>
          <w:highlight w:val="none"/>
        </w:rPr>
        <w:t>地址：</w:t>
      </w:r>
    </w:p>
    <w:p w14:paraId="3C18C7E3">
      <w:pPr>
        <w:spacing w:before="156" w:beforeLines="50" w:after="156" w:afterLines="50"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开户银行：</w:t>
      </w:r>
      <w:r>
        <w:rPr>
          <w:rFonts w:hint="eastAsia" w:ascii="仿宋" w:hAnsi="仿宋" w:eastAsia="仿宋" w:cs="仿宋"/>
          <w:sz w:val="22"/>
          <w:szCs w:val="22"/>
          <w:highlight w:val="none"/>
          <w:lang w:val="en-US" w:eastAsia="zh-CN"/>
        </w:rPr>
        <w:t xml:space="preserve">                                   </w:t>
      </w:r>
      <w:r>
        <w:rPr>
          <w:rFonts w:hint="eastAsia" w:ascii="仿宋" w:hAnsi="仿宋" w:eastAsia="仿宋" w:cs="仿宋"/>
          <w:sz w:val="22"/>
          <w:szCs w:val="22"/>
          <w:highlight w:val="none"/>
        </w:rPr>
        <w:t>开户银行：</w:t>
      </w:r>
    </w:p>
    <w:p w14:paraId="6C04BADE">
      <w:pPr>
        <w:spacing w:before="156" w:beforeLines="50" w:after="156" w:afterLines="50"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账号：</w:t>
      </w:r>
      <w:r>
        <w:rPr>
          <w:rFonts w:hint="eastAsia" w:ascii="仿宋" w:hAnsi="仿宋" w:eastAsia="仿宋" w:cs="仿宋"/>
          <w:sz w:val="22"/>
          <w:szCs w:val="22"/>
          <w:highlight w:val="none"/>
          <w:lang w:val="en-US" w:eastAsia="zh-CN"/>
        </w:rPr>
        <w:t xml:space="preserve">                                       </w:t>
      </w:r>
      <w:r>
        <w:rPr>
          <w:rFonts w:hint="eastAsia" w:ascii="仿宋" w:hAnsi="仿宋" w:eastAsia="仿宋" w:cs="仿宋"/>
          <w:sz w:val="22"/>
          <w:szCs w:val="22"/>
          <w:highlight w:val="none"/>
        </w:rPr>
        <w:t>账号：</w:t>
      </w:r>
    </w:p>
    <w:p w14:paraId="46C6A3B0">
      <w:pPr>
        <w:spacing w:before="156" w:beforeLines="50" w:after="156" w:afterLines="50"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电话：</w:t>
      </w:r>
      <w:r>
        <w:rPr>
          <w:rFonts w:hint="eastAsia" w:ascii="仿宋" w:hAnsi="仿宋" w:eastAsia="仿宋" w:cs="仿宋"/>
          <w:sz w:val="22"/>
          <w:szCs w:val="22"/>
          <w:highlight w:val="none"/>
          <w:lang w:val="en-US" w:eastAsia="zh-CN"/>
        </w:rPr>
        <w:t xml:space="preserve">                                       </w:t>
      </w:r>
      <w:r>
        <w:rPr>
          <w:rFonts w:hint="eastAsia" w:ascii="仿宋" w:hAnsi="仿宋" w:eastAsia="仿宋" w:cs="仿宋"/>
          <w:sz w:val="22"/>
          <w:szCs w:val="22"/>
          <w:highlight w:val="none"/>
        </w:rPr>
        <w:t>电话：</w:t>
      </w:r>
    </w:p>
    <w:p w14:paraId="0FE64EDA">
      <w:pPr>
        <w:spacing w:before="156" w:beforeLines="50" w:after="156" w:afterLines="50"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传真：</w:t>
      </w:r>
      <w:r>
        <w:rPr>
          <w:rFonts w:hint="eastAsia" w:ascii="仿宋" w:hAnsi="仿宋" w:eastAsia="仿宋" w:cs="仿宋"/>
          <w:sz w:val="22"/>
          <w:szCs w:val="22"/>
          <w:highlight w:val="none"/>
          <w:lang w:val="en-US" w:eastAsia="zh-CN"/>
        </w:rPr>
        <w:t xml:space="preserve">                                       </w:t>
      </w:r>
      <w:r>
        <w:rPr>
          <w:rFonts w:hint="eastAsia" w:ascii="仿宋" w:hAnsi="仿宋" w:eastAsia="仿宋" w:cs="仿宋"/>
          <w:sz w:val="22"/>
          <w:szCs w:val="22"/>
          <w:highlight w:val="none"/>
        </w:rPr>
        <w:t>传真：</w:t>
      </w:r>
    </w:p>
    <w:p w14:paraId="1F693A55">
      <w:pPr>
        <w:spacing w:before="120" w:beforeLines="50" w:after="120" w:afterLines="50" w:line="360" w:lineRule="auto"/>
        <w:ind w:firstLine="440" w:firstLineChars="200"/>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rPr>
        <w:t>签约日期：年月日</w:t>
      </w:r>
      <w:r>
        <w:rPr>
          <w:rFonts w:hint="eastAsia" w:ascii="仿宋" w:hAnsi="仿宋" w:eastAsia="仿宋" w:cs="仿宋"/>
          <w:sz w:val="22"/>
          <w:szCs w:val="22"/>
          <w:highlight w:val="none"/>
          <w:lang w:val="en-US" w:eastAsia="zh-CN"/>
        </w:rPr>
        <w:t xml:space="preserve">                             </w:t>
      </w:r>
      <w:r>
        <w:rPr>
          <w:rFonts w:hint="eastAsia" w:ascii="仿宋" w:hAnsi="仿宋" w:eastAsia="仿宋" w:cs="仿宋"/>
          <w:sz w:val="22"/>
          <w:szCs w:val="22"/>
          <w:highlight w:val="none"/>
        </w:rPr>
        <w:t>签约日期：年月日</w:t>
      </w:r>
    </w:p>
    <w:p w14:paraId="63F9CA20">
      <w:pPr>
        <w:pStyle w:val="5"/>
        <w:rPr>
          <w:rFonts w:hint="eastAsia" w:asciiTheme="minorEastAsia" w:hAnsiTheme="minorEastAsia" w:eastAsiaTheme="minorEastAsia" w:cstheme="minorEastAsia"/>
          <w:lang w:val="en-US" w:eastAsia="zh-Hans"/>
        </w:rPr>
      </w:pPr>
    </w:p>
    <w:p w14:paraId="2DD22D0E"/>
    <w:p w14:paraId="2A21C8E9"/>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40015A"/>
    <w:multiLevelType w:val="singleLevel"/>
    <w:tmpl w:val="7B40015A"/>
    <w:lvl w:ilvl="0" w:tentative="0">
      <w:start w:val="1"/>
      <w:numFmt w:val="decimalEnclosedCircleChinese"/>
      <w:suff w:val="nothing"/>
      <w:lvlText w:val="%1　"/>
      <w:lvlJc w:val="left"/>
      <w:pPr>
        <w:ind w:left="0" w:firstLine="4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E0278E"/>
    <w:rsid w:val="1EE0278E"/>
    <w:rsid w:val="62EA1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Light" w:hAnsi="Calibri Light" w:eastAsia="华文仿宋" w:cs="Times New Roman"/>
      <w:kern w:val="2"/>
      <w:sz w:val="21"/>
      <w:szCs w:val="24"/>
      <w:lang w:val="en-US" w:eastAsia="zh-CN" w:bidi="ar-SA"/>
    </w:rPr>
  </w:style>
  <w:style w:type="paragraph" w:styleId="2">
    <w:name w:val="heading 1"/>
    <w:basedOn w:val="1"/>
    <w:next w:val="1"/>
    <w:qFormat/>
    <w:uiPriority w:val="99"/>
    <w:pPr>
      <w:keepNext/>
      <w:keepLines/>
      <w:spacing w:line="360" w:lineRule="auto"/>
      <w:outlineLvl w:val="0"/>
    </w:pPr>
    <w:rPr>
      <w:b/>
      <w:bCs/>
      <w:kern w:val="44"/>
      <w:sz w:val="32"/>
      <w:szCs w:val="3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2026-04-24T02:54:00Z</dcterms:created>
  <dc:creator>MY WAY、</dc:creator>
  <cp:lastModifiedBy>MY WAY、</cp:lastModifiedBy>
  <dcterms:modified xsi:type="dcterms:W3CDTF">2026-04-24T02:55:07Z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03458AFD8E6D466C991883A92AC06EC3_11</vt:lpwstr>
  </property>
  <property fmtid="{D5CDD505-2E9C-101B-9397-08002B2CF9AE}" pid="4" name="KSOTemplateDocerSaveRecord">
    <vt:lpwstr>eyJoZGlkIjoiMzVkZTQ4OGViM2VhM2ExY2JiNThhYmU1NmE2MWE2NzMiLCJ1c2VySWQiOiI2MTg4NTQ0MzUifQ==</vt:lpwstr>
  </property>
</Properties>
</file>