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版本号：DQB-2026016-CS20260424001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2026年陕西省食品安全宣传周主场活动项目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DQB-2026016-CS</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2026年陕西省食品安全宣传周主场活动项目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DQB-2026016-CS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2026年陕西省食品安全宣传周主场活动项目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2026年陕西省食品安全宣传周主场活动项目。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采购包1（2026年陕西省食品安全宣传周主场活动项目）：属于专门面向中小企业采购。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2024年度或2025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磋商的，须提供本人身份证复印件（附在响应文件中）；法定代表人授权他人参加磋商的，须提供法定代表人授权委托书。磋商文件中凡是需要法定代表人盖章之处，非法人单位的负责人均参照执行。 法人的分支机构参与磋商时，除提供《法定代表人授权委托书》、《法定代表人证明书》外，还须同时提供法人给分支机构出具的授权书。</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02986138235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姜仕路、李维婧、李寅辰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采购包1：249,500.00元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采购包1保证金金额：4,900.00元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银行账号：52880188000155187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代理服务费收费标准：采购代理服务费按以下标准计取（核算代理服务费低于5000元时按5000元收取）：成交金额在100万元以下按照费率的1.5%计取。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联系人：姜仕路、李维婧、李寅辰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2026年陕西省食品安全宣传周主场活动项目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249,500.00</w:t>
      </w:r>
    </w:p>
    <w:p>
      <w:pPr>
        <w:pStyle w:val="null3"/>
      </w:pPr>
      <w:r>
        <w:rPr>
          <w:rFonts w:ascii="仿宋_GB2312" w:hAnsi="仿宋_GB2312" w:cs="仿宋_GB2312" w:eastAsia="仿宋_GB2312"/>
        </w:rPr>
        <w:t>采购包最高限价（元）: 249,500.00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2026年陕西省食品安全宣传周 主场活动项目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249,500.00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标的名称：2026年陕西省食品安全宣传周 主场活动项目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80"/>
                    <w:jc w:val="both"/>
                  </w:pPr>
                  <w:r>
                    <w:rPr>
                      <w:rFonts w:ascii="仿宋_GB2312" w:hAnsi="仿宋_GB2312" w:cs="仿宋_GB2312" w:eastAsia="仿宋_GB2312"/>
                      <w:sz w:val="21"/>
                      <w:b/>
                    </w:rPr>
                    <w:t>一、</w:t>
                  </w:r>
                  <w:r>
                    <w:rPr>
                      <w:rFonts w:ascii="仿宋_GB2312" w:hAnsi="仿宋_GB2312" w:cs="仿宋_GB2312" w:eastAsia="仿宋_GB2312"/>
                      <w:sz w:val="21"/>
                      <w:b/>
                    </w:rPr>
                    <w:t>活动</w:t>
                  </w:r>
                  <w:r>
                    <w:rPr>
                      <w:rFonts w:ascii="仿宋_GB2312" w:hAnsi="仿宋_GB2312" w:cs="仿宋_GB2312" w:eastAsia="仿宋_GB2312"/>
                      <w:sz w:val="21"/>
                      <w:b/>
                    </w:rPr>
                    <w:t>背景</w:t>
                  </w:r>
                </w:p>
                <w:p>
                  <w:pPr>
                    <w:pStyle w:val="null3"/>
                    <w:ind w:firstLine="480"/>
                    <w:jc w:val="both"/>
                  </w:pPr>
                  <w:r>
                    <w:rPr>
                      <w:rFonts w:ascii="仿宋_GB2312" w:hAnsi="仿宋_GB2312" w:cs="仿宋_GB2312" w:eastAsia="仿宋_GB2312"/>
                      <w:sz w:val="21"/>
                    </w:rPr>
                    <w:t>为做好</w:t>
                  </w:r>
                  <w:r>
                    <w:rPr>
                      <w:rFonts w:ascii="仿宋_GB2312" w:hAnsi="仿宋_GB2312" w:cs="仿宋_GB2312" w:eastAsia="仿宋_GB2312"/>
                      <w:sz w:val="21"/>
                    </w:rPr>
                    <w:t>食品安全</w:t>
                  </w:r>
                  <w:r>
                    <w:rPr>
                      <w:rFonts w:ascii="仿宋_GB2312" w:hAnsi="仿宋_GB2312" w:cs="仿宋_GB2312" w:eastAsia="仿宋_GB2312"/>
                      <w:sz w:val="21"/>
                    </w:rPr>
                    <w:t>宣传工作，国务院食品安全</w:t>
                  </w:r>
                  <w:r>
                    <w:rPr>
                      <w:rFonts w:ascii="仿宋_GB2312" w:hAnsi="仿宋_GB2312" w:cs="仿宋_GB2312" w:eastAsia="仿宋_GB2312"/>
                      <w:sz w:val="21"/>
                    </w:rPr>
                    <w:t>委员会办公室（简称国务院食安办）</w:t>
                  </w:r>
                  <w:r>
                    <w:rPr>
                      <w:rFonts w:ascii="仿宋_GB2312" w:hAnsi="仿宋_GB2312" w:cs="仿宋_GB2312" w:eastAsia="仿宋_GB2312"/>
                      <w:sz w:val="21"/>
                    </w:rPr>
                    <w:t>每年举办</w:t>
                  </w:r>
                  <w:r>
                    <w:rPr>
                      <w:rFonts w:ascii="仿宋_GB2312" w:hAnsi="仿宋_GB2312" w:cs="仿宋_GB2312" w:eastAsia="仿宋_GB2312"/>
                      <w:sz w:val="21"/>
                    </w:rPr>
                    <w:t>全国</w:t>
                  </w:r>
                  <w:r>
                    <w:rPr>
                      <w:rFonts w:ascii="仿宋_GB2312" w:hAnsi="仿宋_GB2312" w:cs="仿宋_GB2312" w:eastAsia="仿宋_GB2312"/>
                      <w:sz w:val="21"/>
                    </w:rPr>
                    <w:t>食品安全宣传周</w:t>
                  </w:r>
                  <w:r>
                    <w:rPr>
                      <w:rFonts w:ascii="仿宋_GB2312" w:hAnsi="仿宋_GB2312" w:cs="仿宋_GB2312" w:eastAsia="仿宋_GB2312"/>
                      <w:sz w:val="21"/>
                    </w:rPr>
                    <w:t>活动，</w:t>
                  </w:r>
                  <w:r>
                    <w:rPr>
                      <w:rFonts w:ascii="仿宋_GB2312" w:hAnsi="仿宋_GB2312" w:cs="仿宋_GB2312" w:eastAsia="仿宋_GB2312"/>
                      <w:sz w:val="21"/>
                    </w:rPr>
                    <w:t>要求各地同步启动宣传活动</w:t>
                  </w:r>
                  <w:r>
                    <w:rPr>
                      <w:rFonts w:ascii="仿宋_GB2312" w:hAnsi="仿宋_GB2312" w:cs="仿宋_GB2312" w:eastAsia="仿宋_GB2312"/>
                      <w:sz w:val="21"/>
                    </w:rPr>
                    <w:t>。</w:t>
                  </w:r>
                  <w:r>
                    <w:rPr>
                      <w:rFonts w:ascii="仿宋_GB2312" w:hAnsi="仿宋_GB2312" w:cs="仿宋_GB2312" w:eastAsia="仿宋_GB2312"/>
                      <w:sz w:val="21"/>
                    </w:rPr>
                    <w:t>202</w:t>
                  </w:r>
                  <w:r>
                    <w:rPr>
                      <w:rFonts w:ascii="仿宋_GB2312" w:hAnsi="仿宋_GB2312" w:cs="仿宋_GB2312" w:eastAsia="仿宋_GB2312"/>
                      <w:sz w:val="21"/>
                    </w:rPr>
                    <w:t>6</w:t>
                  </w:r>
                  <w:r>
                    <w:rPr>
                      <w:rFonts w:ascii="仿宋_GB2312" w:hAnsi="仿宋_GB2312" w:cs="仿宋_GB2312" w:eastAsia="仿宋_GB2312"/>
                      <w:sz w:val="21"/>
                    </w:rPr>
                    <w:t>年国务院食安</w:t>
                  </w:r>
                  <w:r>
                    <w:rPr>
                      <w:rFonts w:ascii="仿宋_GB2312" w:hAnsi="仿宋_GB2312" w:cs="仿宋_GB2312" w:eastAsia="仿宋_GB2312"/>
                      <w:sz w:val="21"/>
                    </w:rPr>
                    <w:t>办、国家市场监管总局计划</w:t>
                  </w:r>
                  <w:r>
                    <w:rPr>
                      <w:rFonts w:ascii="仿宋_GB2312" w:hAnsi="仿宋_GB2312" w:cs="仿宋_GB2312" w:eastAsia="仿宋_GB2312"/>
                      <w:sz w:val="21"/>
                    </w:rPr>
                    <w:t>6</w:t>
                  </w:r>
                  <w:r>
                    <w:rPr>
                      <w:rFonts w:ascii="仿宋_GB2312" w:hAnsi="仿宋_GB2312" w:cs="仿宋_GB2312" w:eastAsia="仿宋_GB2312"/>
                      <w:sz w:val="21"/>
                    </w:rPr>
                    <w:t>月</w:t>
                  </w:r>
                  <w:r>
                    <w:rPr>
                      <w:rFonts w:ascii="仿宋_GB2312" w:hAnsi="仿宋_GB2312" w:cs="仿宋_GB2312" w:eastAsia="仿宋_GB2312"/>
                      <w:sz w:val="21"/>
                    </w:rPr>
                    <w:t>开展</w:t>
                  </w:r>
                  <w:r>
                    <w:rPr>
                      <w:rFonts w:ascii="仿宋_GB2312" w:hAnsi="仿宋_GB2312" w:cs="仿宋_GB2312" w:eastAsia="仿宋_GB2312"/>
                      <w:sz w:val="21"/>
                    </w:rPr>
                    <w:t>全国食品安全宣传周活动</w:t>
                  </w:r>
                  <w:r>
                    <w:rPr>
                      <w:rFonts w:ascii="仿宋_GB2312" w:hAnsi="仿宋_GB2312" w:cs="仿宋_GB2312" w:eastAsia="仿宋_GB2312"/>
                      <w:sz w:val="21"/>
                    </w:rPr>
                    <w:t>，我省拟同期开展</w:t>
                  </w:r>
                  <w:r>
                    <w:rPr>
                      <w:rFonts w:ascii="仿宋_GB2312" w:hAnsi="仿宋_GB2312" w:cs="仿宋_GB2312" w:eastAsia="仿宋_GB2312"/>
                      <w:sz w:val="21"/>
                    </w:rPr>
                    <w:t>“</w:t>
                  </w:r>
                  <w:r>
                    <w:rPr>
                      <w:rFonts w:ascii="仿宋_GB2312" w:hAnsi="仿宋_GB2312" w:cs="仿宋_GB2312" w:eastAsia="仿宋_GB2312"/>
                      <w:sz w:val="21"/>
                    </w:rPr>
                    <w:t>陕西省食品安全宣传周</w:t>
                  </w:r>
                  <w:r>
                    <w:rPr>
                      <w:rFonts w:ascii="仿宋_GB2312" w:hAnsi="仿宋_GB2312" w:cs="仿宋_GB2312" w:eastAsia="仿宋_GB2312"/>
                      <w:sz w:val="21"/>
                    </w:rPr>
                    <w:t>”系列</w:t>
                  </w:r>
                  <w:r>
                    <w:rPr>
                      <w:rFonts w:ascii="仿宋_GB2312" w:hAnsi="仿宋_GB2312" w:cs="仿宋_GB2312" w:eastAsia="仿宋_GB2312"/>
                      <w:sz w:val="21"/>
                    </w:rPr>
                    <w:t>活动</w:t>
                  </w:r>
                  <w:r>
                    <w:rPr>
                      <w:rFonts w:ascii="仿宋_GB2312" w:hAnsi="仿宋_GB2312" w:cs="仿宋_GB2312" w:eastAsia="仿宋_GB2312"/>
                      <w:sz w:val="21"/>
                    </w:rPr>
                    <w:t>，</w:t>
                  </w:r>
                  <w:r>
                    <w:rPr>
                      <w:rFonts w:ascii="仿宋_GB2312" w:hAnsi="仿宋_GB2312" w:cs="仿宋_GB2312" w:eastAsia="仿宋_GB2312"/>
                      <w:sz w:val="21"/>
                    </w:rPr>
                    <w:t>充分宣</w:t>
                  </w:r>
                  <w:r>
                    <w:rPr>
                      <w:rFonts w:ascii="仿宋_GB2312" w:hAnsi="仿宋_GB2312" w:cs="仿宋_GB2312" w:eastAsia="仿宋_GB2312"/>
                      <w:sz w:val="21"/>
                    </w:rPr>
                    <w:t>传</w:t>
                  </w:r>
                  <w:r>
                    <w:rPr>
                      <w:rFonts w:ascii="仿宋_GB2312" w:hAnsi="仿宋_GB2312" w:cs="仿宋_GB2312" w:eastAsia="仿宋_GB2312"/>
                      <w:sz w:val="21"/>
                    </w:rPr>
                    <w:t>食品安全</w:t>
                  </w:r>
                  <w:r>
                    <w:rPr>
                      <w:rFonts w:ascii="仿宋_GB2312" w:hAnsi="仿宋_GB2312" w:cs="仿宋_GB2312" w:eastAsia="仿宋_GB2312"/>
                      <w:sz w:val="21"/>
                    </w:rPr>
                    <w:t>政策</w:t>
                  </w:r>
                  <w:r>
                    <w:rPr>
                      <w:rFonts w:ascii="仿宋_GB2312" w:hAnsi="仿宋_GB2312" w:cs="仿宋_GB2312" w:eastAsia="仿宋_GB2312"/>
                      <w:sz w:val="21"/>
                    </w:rPr>
                    <w:t>法规</w:t>
                  </w:r>
                  <w:r>
                    <w:rPr>
                      <w:rFonts w:ascii="仿宋_GB2312" w:hAnsi="仿宋_GB2312" w:cs="仿宋_GB2312" w:eastAsia="仿宋_GB2312"/>
                      <w:sz w:val="21"/>
                    </w:rPr>
                    <w:t>和</w:t>
                  </w:r>
                  <w:r>
                    <w:rPr>
                      <w:rFonts w:ascii="仿宋_GB2312" w:hAnsi="仿宋_GB2312" w:cs="仿宋_GB2312" w:eastAsia="仿宋_GB2312"/>
                      <w:sz w:val="21"/>
                    </w:rPr>
                    <w:t>普及食品安全知识</w:t>
                  </w:r>
                  <w:r>
                    <w:rPr>
                      <w:rFonts w:ascii="仿宋_GB2312" w:hAnsi="仿宋_GB2312" w:cs="仿宋_GB2312" w:eastAsia="仿宋_GB2312"/>
                      <w:sz w:val="21"/>
                    </w:rPr>
                    <w:t>，</w:t>
                  </w:r>
                  <w:r>
                    <w:rPr>
                      <w:rFonts w:ascii="仿宋_GB2312" w:hAnsi="仿宋_GB2312" w:cs="仿宋_GB2312" w:eastAsia="仿宋_GB2312"/>
                      <w:sz w:val="21"/>
                    </w:rPr>
                    <w:t>展示近年来</w:t>
                  </w:r>
                  <w:r>
                    <w:rPr>
                      <w:rFonts w:ascii="仿宋_GB2312" w:hAnsi="仿宋_GB2312" w:cs="仿宋_GB2312" w:eastAsia="仿宋_GB2312"/>
                      <w:sz w:val="21"/>
                    </w:rPr>
                    <w:t>陕西省食品安全</w:t>
                  </w:r>
                  <w:r>
                    <w:rPr>
                      <w:rFonts w:ascii="仿宋_GB2312" w:hAnsi="仿宋_GB2312" w:cs="仿宋_GB2312" w:eastAsia="仿宋_GB2312"/>
                      <w:sz w:val="21"/>
                    </w:rPr>
                    <w:t>监管</w:t>
                  </w:r>
                  <w:r>
                    <w:rPr>
                      <w:rFonts w:ascii="仿宋_GB2312" w:hAnsi="仿宋_GB2312" w:cs="仿宋_GB2312" w:eastAsia="仿宋_GB2312"/>
                      <w:sz w:val="21"/>
                    </w:rPr>
                    <w:t>工作</w:t>
                  </w:r>
                  <w:r>
                    <w:rPr>
                      <w:rFonts w:ascii="仿宋_GB2312" w:hAnsi="仿宋_GB2312" w:cs="仿宋_GB2312" w:eastAsia="仿宋_GB2312"/>
                      <w:sz w:val="21"/>
                    </w:rPr>
                    <w:t>成效</w:t>
                  </w:r>
                  <w:r>
                    <w:rPr>
                      <w:rFonts w:ascii="仿宋_GB2312" w:hAnsi="仿宋_GB2312" w:cs="仿宋_GB2312" w:eastAsia="仿宋_GB2312"/>
                      <w:sz w:val="21"/>
                    </w:rPr>
                    <w:t>，</w:t>
                  </w:r>
                  <w:r>
                    <w:rPr>
                      <w:rFonts w:ascii="仿宋_GB2312" w:hAnsi="仿宋_GB2312" w:cs="仿宋_GB2312" w:eastAsia="仿宋_GB2312"/>
                      <w:sz w:val="21"/>
                    </w:rPr>
                    <w:t>提升食品</w:t>
                  </w:r>
                  <w:r>
                    <w:rPr>
                      <w:rFonts w:ascii="仿宋_GB2312" w:hAnsi="仿宋_GB2312" w:cs="仿宋_GB2312" w:eastAsia="仿宋_GB2312"/>
                      <w:sz w:val="21"/>
                    </w:rPr>
                    <w:t>安全</w:t>
                  </w:r>
                  <w:r>
                    <w:rPr>
                      <w:rFonts w:ascii="仿宋_GB2312" w:hAnsi="仿宋_GB2312" w:cs="仿宋_GB2312" w:eastAsia="仿宋_GB2312"/>
                      <w:sz w:val="21"/>
                    </w:rPr>
                    <w:t>消费信心</w:t>
                  </w:r>
                  <w:r>
                    <w:rPr>
                      <w:rFonts w:ascii="仿宋_GB2312" w:hAnsi="仿宋_GB2312" w:cs="仿宋_GB2312" w:eastAsia="仿宋_GB2312"/>
                      <w:sz w:val="21"/>
                    </w:rPr>
                    <w:t>，</w:t>
                  </w:r>
                  <w:r>
                    <w:rPr>
                      <w:rFonts w:ascii="仿宋_GB2312" w:hAnsi="仿宋_GB2312" w:cs="仿宋_GB2312" w:eastAsia="仿宋_GB2312"/>
                      <w:sz w:val="21"/>
                    </w:rPr>
                    <w:t>促进</w:t>
                  </w:r>
                  <w:r>
                    <w:rPr>
                      <w:rFonts w:ascii="仿宋_GB2312" w:hAnsi="仿宋_GB2312" w:cs="仿宋_GB2312" w:eastAsia="仿宋_GB2312"/>
                      <w:sz w:val="21"/>
                    </w:rPr>
                    <w:t>食品安全</w:t>
                  </w:r>
                  <w:r>
                    <w:rPr>
                      <w:rFonts w:ascii="仿宋_GB2312" w:hAnsi="仿宋_GB2312" w:cs="仿宋_GB2312" w:eastAsia="仿宋_GB2312"/>
                      <w:sz w:val="21"/>
                    </w:rPr>
                    <w:t>社会共治</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b/>
                    </w:rPr>
                    <w:t>二、</w:t>
                  </w:r>
                  <w:r>
                    <w:rPr>
                      <w:rFonts w:ascii="仿宋_GB2312" w:hAnsi="仿宋_GB2312" w:cs="仿宋_GB2312" w:eastAsia="仿宋_GB2312"/>
                      <w:sz w:val="21"/>
                      <w:b/>
                    </w:rPr>
                    <w:t>采购目标</w:t>
                  </w:r>
                </w:p>
                <w:p>
                  <w:pPr>
                    <w:pStyle w:val="null3"/>
                    <w:ind w:firstLine="480"/>
                    <w:jc w:val="both"/>
                  </w:pPr>
                  <w:r>
                    <w:rPr>
                      <w:rFonts w:ascii="仿宋_GB2312" w:hAnsi="仿宋_GB2312" w:cs="仿宋_GB2312" w:eastAsia="仿宋_GB2312"/>
                      <w:sz w:val="21"/>
                    </w:rPr>
                    <w:t>（一）主场日活动将</w:t>
                  </w:r>
                  <w:r>
                    <w:rPr>
                      <w:rFonts w:ascii="仿宋_GB2312" w:hAnsi="仿宋_GB2312" w:cs="仿宋_GB2312" w:eastAsia="仿宋_GB2312"/>
                      <w:sz w:val="21"/>
                    </w:rPr>
                    <w:t>委托</w:t>
                  </w:r>
                  <w:r>
                    <w:rPr>
                      <w:rFonts w:ascii="仿宋_GB2312" w:hAnsi="仿宋_GB2312" w:cs="仿宋_GB2312" w:eastAsia="仿宋_GB2312"/>
                      <w:sz w:val="21"/>
                    </w:rPr>
                    <w:t>专业</w:t>
                  </w:r>
                  <w:r>
                    <w:rPr>
                      <w:rFonts w:ascii="仿宋_GB2312" w:hAnsi="仿宋_GB2312" w:cs="仿宋_GB2312" w:eastAsia="仿宋_GB2312"/>
                      <w:sz w:val="21"/>
                    </w:rPr>
                    <w:t>机构</w:t>
                  </w:r>
                  <w:r>
                    <w:rPr>
                      <w:rFonts w:ascii="仿宋_GB2312" w:hAnsi="仿宋_GB2312" w:cs="仿宋_GB2312" w:eastAsia="仿宋_GB2312"/>
                      <w:sz w:val="21"/>
                    </w:rPr>
                    <w:t>承办，包括广场</w:t>
                  </w:r>
                  <w:r>
                    <w:rPr>
                      <w:rFonts w:ascii="仿宋_GB2312" w:hAnsi="仿宋_GB2312" w:cs="仿宋_GB2312" w:eastAsia="仿宋_GB2312"/>
                      <w:sz w:val="21"/>
                    </w:rPr>
                    <w:t>搭建</w:t>
                  </w:r>
                  <w:r>
                    <w:rPr>
                      <w:rFonts w:ascii="仿宋_GB2312" w:hAnsi="仿宋_GB2312" w:cs="仿宋_GB2312" w:eastAsia="仿宋_GB2312"/>
                      <w:sz w:val="21"/>
                    </w:rPr>
                    <w:t>、论坛会议室等</w:t>
                  </w:r>
                  <w:r>
                    <w:rPr>
                      <w:rFonts w:ascii="仿宋_GB2312" w:hAnsi="仿宋_GB2312" w:cs="仿宋_GB2312" w:eastAsia="仿宋_GB2312"/>
                      <w:sz w:val="21"/>
                    </w:rPr>
                    <w:t>场地的租赁及布置</w:t>
                  </w:r>
                  <w:r>
                    <w:rPr>
                      <w:rFonts w:ascii="仿宋_GB2312" w:hAnsi="仿宋_GB2312" w:cs="仿宋_GB2312" w:eastAsia="仿宋_GB2312"/>
                      <w:sz w:val="21"/>
                    </w:rPr>
                    <w:t>，租用</w:t>
                  </w:r>
                  <w:r>
                    <w:rPr>
                      <w:rFonts w:ascii="仿宋_GB2312" w:hAnsi="仿宋_GB2312" w:cs="仿宋_GB2312" w:eastAsia="仿宋_GB2312"/>
                      <w:sz w:val="21"/>
                    </w:rPr>
                    <w:t>LED</w:t>
                  </w:r>
                  <w:r>
                    <w:rPr>
                      <w:rFonts w:ascii="仿宋_GB2312" w:hAnsi="仿宋_GB2312" w:cs="仿宋_GB2312" w:eastAsia="仿宋_GB2312"/>
                      <w:sz w:val="21"/>
                    </w:rPr>
                    <w:t>电子屏播放宣传片和视频，</w:t>
                  </w:r>
                  <w:r>
                    <w:rPr>
                      <w:rFonts w:ascii="仿宋_GB2312" w:hAnsi="仿宋_GB2312" w:cs="仿宋_GB2312" w:eastAsia="仿宋_GB2312"/>
                      <w:sz w:val="21"/>
                    </w:rPr>
                    <w:t>制作</w:t>
                  </w:r>
                  <w:r>
                    <w:rPr>
                      <w:rFonts w:ascii="仿宋_GB2312" w:hAnsi="仿宋_GB2312" w:cs="仿宋_GB2312" w:eastAsia="仿宋_GB2312"/>
                      <w:sz w:val="21"/>
                    </w:rPr>
                    <w:t>宣传片、宣传材料和展板等</w:t>
                  </w:r>
                  <w:r>
                    <w:rPr>
                      <w:rFonts w:ascii="仿宋_GB2312" w:hAnsi="仿宋_GB2312" w:cs="仿宋_GB2312" w:eastAsia="仿宋_GB2312"/>
                      <w:sz w:val="21"/>
                    </w:rPr>
                    <w:t>。</w:t>
                  </w:r>
                  <w:r>
                    <w:rPr>
                      <w:rFonts w:ascii="仿宋_GB2312" w:hAnsi="仿宋_GB2312" w:cs="仿宋_GB2312" w:eastAsia="仿宋_GB2312"/>
                      <w:sz w:val="21"/>
                    </w:rPr>
                    <w:t>容纳人数不低于</w:t>
                  </w:r>
                  <w:r>
                    <w:rPr>
                      <w:rFonts w:ascii="仿宋_GB2312" w:hAnsi="仿宋_GB2312" w:cs="仿宋_GB2312" w:eastAsia="仿宋_GB2312"/>
                      <w:sz w:val="21"/>
                    </w:rPr>
                    <w:t>300人，活动时间半天至一天。</w:t>
                  </w:r>
                  <w:r>
                    <w:rPr>
                      <w:rFonts w:ascii="仿宋_GB2312" w:hAnsi="仿宋_GB2312" w:cs="仿宋_GB2312" w:eastAsia="仿宋_GB2312"/>
                      <w:sz w:val="21"/>
                    </w:rPr>
                    <w:t>宣传</w:t>
                  </w:r>
                  <w:r>
                    <w:rPr>
                      <w:rFonts w:ascii="仿宋_GB2312" w:hAnsi="仿宋_GB2312" w:cs="仿宋_GB2312" w:eastAsia="仿宋_GB2312"/>
                      <w:sz w:val="21"/>
                    </w:rPr>
                    <w:t>活动</w:t>
                  </w:r>
                  <w:r>
                    <w:rPr>
                      <w:rFonts w:ascii="仿宋_GB2312" w:hAnsi="仿宋_GB2312" w:cs="仿宋_GB2312" w:eastAsia="仿宋_GB2312"/>
                      <w:sz w:val="21"/>
                    </w:rPr>
                    <w:t>内容为</w:t>
                  </w:r>
                  <w:r>
                    <w:rPr>
                      <w:rFonts w:ascii="仿宋_GB2312" w:hAnsi="仿宋_GB2312" w:cs="仿宋_GB2312" w:eastAsia="仿宋_GB2312"/>
                      <w:sz w:val="21"/>
                    </w:rPr>
                    <w:t>宣传</w:t>
                  </w:r>
                  <w:r>
                    <w:rPr>
                      <w:rFonts w:ascii="仿宋_GB2312" w:hAnsi="仿宋_GB2312" w:cs="仿宋_GB2312" w:eastAsia="仿宋_GB2312"/>
                      <w:sz w:val="21"/>
                    </w:rPr>
                    <w:t>国家</w:t>
                  </w:r>
                  <w:r>
                    <w:rPr>
                      <w:rFonts w:ascii="仿宋_GB2312" w:hAnsi="仿宋_GB2312" w:cs="仿宋_GB2312" w:eastAsia="仿宋_GB2312"/>
                      <w:sz w:val="21"/>
                    </w:rPr>
                    <w:t>食品安全</w:t>
                  </w:r>
                  <w:r>
                    <w:rPr>
                      <w:rFonts w:ascii="仿宋_GB2312" w:hAnsi="仿宋_GB2312" w:cs="仿宋_GB2312" w:eastAsia="仿宋_GB2312"/>
                      <w:sz w:val="21"/>
                    </w:rPr>
                    <w:t>政策</w:t>
                  </w:r>
                  <w:r>
                    <w:rPr>
                      <w:rFonts w:ascii="仿宋_GB2312" w:hAnsi="仿宋_GB2312" w:cs="仿宋_GB2312" w:eastAsia="仿宋_GB2312"/>
                      <w:sz w:val="21"/>
                    </w:rPr>
                    <w:t>法规</w:t>
                  </w:r>
                  <w:r>
                    <w:rPr>
                      <w:rFonts w:ascii="仿宋_GB2312" w:hAnsi="仿宋_GB2312" w:cs="仿宋_GB2312" w:eastAsia="仿宋_GB2312"/>
                      <w:sz w:val="21"/>
                    </w:rPr>
                    <w:t>和科普知识，</w:t>
                  </w:r>
                  <w:r>
                    <w:rPr>
                      <w:rFonts w:ascii="仿宋_GB2312" w:hAnsi="仿宋_GB2312" w:cs="仿宋_GB2312" w:eastAsia="仿宋_GB2312"/>
                      <w:sz w:val="21"/>
                    </w:rPr>
                    <w:t>我省食品安全监管有关政策措施</w:t>
                  </w:r>
                  <w:r>
                    <w:rPr>
                      <w:rFonts w:ascii="仿宋_GB2312" w:hAnsi="仿宋_GB2312" w:cs="仿宋_GB2312" w:eastAsia="仿宋_GB2312"/>
                      <w:sz w:val="21"/>
                    </w:rPr>
                    <w:t>和专项工作</w:t>
                  </w:r>
                  <w:r>
                    <w:rPr>
                      <w:rFonts w:ascii="仿宋_GB2312" w:hAnsi="仿宋_GB2312" w:cs="仿宋_GB2312" w:eastAsia="仿宋_GB2312"/>
                      <w:sz w:val="21"/>
                    </w:rPr>
                    <w:t>，近年来全省食品安全</w:t>
                  </w:r>
                  <w:r>
                    <w:rPr>
                      <w:rFonts w:ascii="仿宋_GB2312" w:hAnsi="仿宋_GB2312" w:cs="仿宋_GB2312" w:eastAsia="仿宋_GB2312"/>
                      <w:sz w:val="21"/>
                    </w:rPr>
                    <w:t>监管</w:t>
                  </w:r>
                  <w:r>
                    <w:rPr>
                      <w:rFonts w:ascii="仿宋_GB2312" w:hAnsi="仿宋_GB2312" w:cs="仿宋_GB2312" w:eastAsia="仿宋_GB2312"/>
                      <w:sz w:val="21"/>
                    </w:rPr>
                    <w:t>工作取得的</w:t>
                  </w:r>
                  <w:r>
                    <w:rPr>
                      <w:rFonts w:ascii="仿宋_GB2312" w:hAnsi="仿宋_GB2312" w:cs="仿宋_GB2312" w:eastAsia="仿宋_GB2312"/>
                      <w:sz w:val="21"/>
                    </w:rPr>
                    <w:t>成效</w:t>
                  </w:r>
                  <w:r>
                    <w:rPr>
                      <w:rFonts w:ascii="仿宋_GB2312" w:hAnsi="仿宋_GB2312" w:cs="仿宋_GB2312" w:eastAsia="仿宋_GB2312"/>
                      <w:sz w:val="21"/>
                    </w:rPr>
                    <w:t>，</w:t>
                  </w:r>
                  <w:r>
                    <w:rPr>
                      <w:rFonts w:ascii="仿宋_GB2312" w:hAnsi="仿宋_GB2312" w:cs="仿宋_GB2312" w:eastAsia="仿宋_GB2312"/>
                      <w:sz w:val="21"/>
                    </w:rPr>
                    <w:t>以及开展面向群众的科普宣传和咨询服务。</w:t>
                  </w:r>
                </w:p>
                <w:p>
                  <w:pPr>
                    <w:pStyle w:val="null3"/>
                    <w:ind w:firstLine="480"/>
                    <w:jc w:val="both"/>
                  </w:pPr>
                  <w:r>
                    <w:rPr>
                      <w:rFonts w:ascii="仿宋_GB2312" w:hAnsi="仿宋_GB2312" w:cs="仿宋_GB2312" w:eastAsia="仿宋_GB2312"/>
                      <w:sz w:val="21"/>
                    </w:rPr>
                    <w:t>（二）提供活动所需工作人员、音像设备和其他物料，包含</w:t>
                  </w:r>
                  <w:r>
                    <w:rPr>
                      <w:rFonts w:ascii="仿宋_GB2312" w:hAnsi="仿宋_GB2312" w:cs="仿宋_GB2312" w:eastAsia="仿宋_GB2312"/>
                      <w:sz w:val="21"/>
                    </w:rPr>
                    <w:t>活动安保、</w:t>
                  </w:r>
                  <w:r>
                    <w:rPr>
                      <w:rFonts w:ascii="仿宋_GB2312" w:hAnsi="仿宋_GB2312" w:cs="仿宋_GB2312" w:eastAsia="仿宋_GB2312"/>
                      <w:sz w:val="21"/>
                    </w:rPr>
                    <w:t>主持</w:t>
                  </w:r>
                  <w:r>
                    <w:rPr>
                      <w:rFonts w:ascii="仿宋_GB2312" w:hAnsi="仿宋_GB2312" w:cs="仿宋_GB2312" w:eastAsia="仿宋_GB2312"/>
                      <w:sz w:val="21"/>
                    </w:rPr>
                    <w:t>礼仪</w:t>
                  </w:r>
                  <w:r>
                    <w:rPr>
                      <w:rFonts w:ascii="仿宋_GB2312" w:hAnsi="仿宋_GB2312" w:cs="仿宋_GB2312" w:eastAsia="仿宋_GB2312"/>
                      <w:sz w:val="21"/>
                    </w:rPr>
                    <w:t>等，保障活动</w:t>
                  </w:r>
                  <w:r>
                    <w:rPr>
                      <w:rFonts w:ascii="仿宋_GB2312" w:hAnsi="仿宋_GB2312" w:cs="仿宋_GB2312" w:eastAsia="仿宋_GB2312"/>
                      <w:sz w:val="21"/>
                    </w:rPr>
                    <w:t>顺利</w:t>
                  </w:r>
                  <w:r>
                    <w:rPr>
                      <w:rFonts w:ascii="仿宋_GB2312" w:hAnsi="仿宋_GB2312" w:cs="仿宋_GB2312" w:eastAsia="仿宋_GB2312"/>
                      <w:sz w:val="21"/>
                    </w:rPr>
                    <w:t>进行。</w:t>
                  </w:r>
                </w:p>
                <w:p>
                  <w:pPr>
                    <w:pStyle w:val="null3"/>
                    <w:ind w:firstLine="480"/>
                    <w:jc w:val="both"/>
                  </w:pPr>
                  <w:r>
                    <w:rPr>
                      <w:rFonts w:ascii="仿宋_GB2312" w:hAnsi="仿宋_GB2312" w:cs="仿宋_GB2312" w:eastAsia="仿宋_GB2312"/>
                      <w:sz w:val="21"/>
                      <w:b/>
                    </w:rPr>
                    <w:t>三</w:t>
                  </w:r>
                  <w:r>
                    <w:rPr>
                      <w:rFonts w:ascii="仿宋_GB2312" w:hAnsi="仿宋_GB2312" w:cs="仿宋_GB2312" w:eastAsia="仿宋_GB2312"/>
                      <w:sz w:val="21"/>
                      <w:b/>
                    </w:rPr>
                    <w:t>、完成时限</w:t>
                  </w:r>
                </w:p>
                <w:p>
                  <w:pPr>
                    <w:pStyle w:val="null3"/>
                    <w:ind w:firstLine="480"/>
                    <w:jc w:val="both"/>
                  </w:pPr>
                  <w:r>
                    <w:rPr>
                      <w:rFonts w:ascii="仿宋_GB2312" w:hAnsi="仿宋_GB2312" w:cs="仿宋_GB2312" w:eastAsia="仿宋_GB2312"/>
                      <w:sz w:val="21"/>
                    </w:rPr>
                    <w:t>按照后续</w:t>
                  </w:r>
                  <w:r>
                    <w:rPr>
                      <w:rFonts w:ascii="仿宋_GB2312" w:hAnsi="仿宋_GB2312" w:cs="仿宋_GB2312" w:eastAsia="仿宋_GB2312"/>
                      <w:sz w:val="21"/>
                    </w:rPr>
                    <w:t>合同</w:t>
                  </w:r>
                  <w:r>
                    <w:rPr>
                      <w:rFonts w:ascii="仿宋_GB2312" w:hAnsi="仿宋_GB2312" w:cs="仿宋_GB2312" w:eastAsia="仿宋_GB2312"/>
                      <w:sz w:val="21"/>
                    </w:rPr>
                    <w:t>在要求时间内完成各项工作任务，</w:t>
                  </w:r>
                  <w:r>
                    <w:rPr>
                      <w:rFonts w:ascii="仿宋_GB2312" w:hAnsi="仿宋_GB2312" w:cs="仿宋_GB2312" w:eastAsia="仿宋_GB2312"/>
                      <w:sz w:val="21"/>
                    </w:rPr>
                    <w:t>所有人员、设备、材料、物料、宣传媒体到位。</w:t>
                  </w:r>
                </w:p>
                <w:p>
                  <w:pPr>
                    <w:pStyle w:val="null3"/>
                    <w:ind w:firstLine="480"/>
                    <w:jc w:val="both"/>
                  </w:pPr>
                  <w:r>
                    <w:rPr>
                      <w:rFonts w:ascii="仿宋_GB2312" w:hAnsi="仿宋_GB2312" w:cs="仿宋_GB2312" w:eastAsia="仿宋_GB2312"/>
                      <w:sz w:val="21"/>
                      <w:b/>
                    </w:rPr>
                    <w:t>四、项目要求</w:t>
                  </w:r>
                </w:p>
                <w:p>
                  <w:pPr>
                    <w:pStyle w:val="null3"/>
                    <w:ind w:firstLine="480"/>
                    <w:jc w:val="both"/>
                  </w:pPr>
                  <w:r>
                    <w:rPr>
                      <w:rFonts w:ascii="仿宋_GB2312" w:hAnsi="仿宋_GB2312" w:cs="仿宋_GB2312" w:eastAsia="仿宋_GB2312"/>
                      <w:sz w:val="21"/>
                      <w:b/>
                    </w:rPr>
                    <w:t>（一）</w:t>
                  </w:r>
                  <w:r>
                    <w:rPr>
                      <w:rFonts w:ascii="仿宋_GB2312" w:hAnsi="仿宋_GB2312" w:cs="仿宋_GB2312" w:eastAsia="仿宋_GB2312"/>
                      <w:sz w:val="21"/>
                      <w:b/>
                    </w:rPr>
                    <w:t>活动策划</w:t>
                  </w:r>
                </w:p>
                <w:p>
                  <w:pPr>
                    <w:pStyle w:val="null3"/>
                    <w:ind w:firstLine="480"/>
                    <w:jc w:val="both"/>
                  </w:pPr>
                  <w:r>
                    <w:rPr>
                      <w:rFonts w:ascii="仿宋_GB2312" w:hAnsi="仿宋_GB2312" w:cs="仿宋_GB2312" w:eastAsia="仿宋_GB2312"/>
                      <w:sz w:val="21"/>
                    </w:rPr>
                    <w:t>1.</w:t>
                  </w:r>
                  <w:r>
                    <w:rPr>
                      <w:rFonts w:ascii="仿宋_GB2312" w:hAnsi="仿宋_GB2312" w:cs="仿宋_GB2312" w:eastAsia="仿宋_GB2312"/>
                      <w:sz w:val="21"/>
                    </w:rPr>
                    <w:t>策划技术服务</w:t>
                  </w:r>
                  <w:r>
                    <w:rPr>
                      <w:rFonts w:ascii="仿宋_GB2312" w:hAnsi="仿宋_GB2312" w:cs="仿宋_GB2312" w:eastAsia="仿宋_GB2312"/>
                      <w:sz w:val="21"/>
                    </w:rPr>
                    <w:t>：包括活动前期工作咨询，活动执行阶段的组织与协调和活动后期的评估总结活动效果等。</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活动主题形象设计</w:t>
                  </w:r>
                  <w:r>
                    <w:rPr>
                      <w:rFonts w:ascii="仿宋_GB2312" w:hAnsi="仿宋_GB2312" w:cs="仿宋_GB2312" w:eastAsia="仿宋_GB2312"/>
                      <w:sz w:val="21"/>
                    </w:rPr>
                    <w:t>：包括活动标识识别标准化设计，活动办公系统设计，活动导视系统设计及活动公共关系系统设计等。</w:t>
                  </w:r>
                </w:p>
                <w:p>
                  <w:pPr>
                    <w:pStyle w:val="null3"/>
                    <w:ind w:firstLine="480"/>
                    <w:jc w:val="both"/>
                  </w:pPr>
                  <w:r>
                    <w:rPr>
                      <w:rFonts w:ascii="仿宋_GB2312" w:hAnsi="仿宋_GB2312" w:cs="仿宋_GB2312" w:eastAsia="仿宋_GB2312"/>
                      <w:sz w:val="21"/>
                      <w:b/>
                    </w:rPr>
                    <w:t>（二）</w:t>
                  </w:r>
                  <w:r>
                    <w:rPr>
                      <w:rFonts w:ascii="仿宋_GB2312" w:hAnsi="仿宋_GB2312" w:cs="仿宋_GB2312" w:eastAsia="仿宋_GB2312"/>
                      <w:sz w:val="21"/>
                      <w:b/>
                    </w:rPr>
                    <w:t>活动布置</w:t>
                  </w:r>
                </w:p>
                <w:p>
                  <w:pPr>
                    <w:pStyle w:val="null3"/>
                    <w:ind w:firstLine="480"/>
                    <w:jc w:val="both"/>
                  </w:pPr>
                  <w:r>
                    <w:rPr>
                      <w:rFonts w:ascii="仿宋_GB2312" w:hAnsi="仿宋_GB2312" w:cs="仿宋_GB2312" w:eastAsia="仿宋_GB2312"/>
                      <w:sz w:val="21"/>
                    </w:rPr>
                    <w:t>1.场地租赁:室内会议室、会议厅/展厅/室外场地、展位。</w:t>
                  </w:r>
                </w:p>
                <w:p>
                  <w:pPr>
                    <w:pStyle w:val="null3"/>
                    <w:ind w:firstLine="480"/>
                    <w:jc w:val="both"/>
                  </w:pPr>
                  <w:r>
                    <w:rPr>
                      <w:rFonts w:ascii="仿宋_GB2312" w:hAnsi="仿宋_GB2312" w:cs="仿宋_GB2312" w:eastAsia="仿宋_GB2312"/>
                      <w:sz w:val="21"/>
                    </w:rPr>
                    <w:t>2.展台及展位搭建。</w:t>
                  </w:r>
                </w:p>
                <w:p>
                  <w:pPr>
                    <w:pStyle w:val="null3"/>
                    <w:ind w:firstLine="480"/>
                    <w:jc w:val="both"/>
                  </w:pPr>
                  <w:r>
                    <w:rPr>
                      <w:rFonts w:ascii="仿宋_GB2312" w:hAnsi="仿宋_GB2312" w:cs="仿宋_GB2312" w:eastAsia="仿宋_GB2312"/>
                      <w:sz w:val="21"/>
                    </w:rPr>
                    <w:t>3.音响系统、灯光系统、活动主席台系统、活动设备租赁。</w:t>
                  </w:r>
                </w:p>
                <w:p>
                  <w:pPr>
                    <w:pStyle w:val="null3"/>
                    <w:ind w:firstLine="480"/>
                    <w:jc w:val="both"/>
                  </w:pPr>
                  <w:r>
                    <w:rPr>
                      <w:rFonts w:ascii="仿宋_GB2312" w:hAnsi="仿宋_GB2312" w:cs="仿宋_GB2312" w:eastAsia="仿宋_GB2312"/>
                      <w:sz w:val="21"/>
                    </w:rPr>
                    <w:t>3.1音响系统：包括音箱功放、音响及控制台、阵线音响系统、便携拉杆音响、返听音箱、话筒等。</w:t>
                  </w:r>
                </w:p>
                <w:p>
                  <w:pPr>
                    <w:pStyle w:val="null3"/>
                    <w:ind w:firstLine="480"/>
                    <w:jc w:val="both"/>
                  </w:pPr>
                  <w:r>
                    <w:rPr>
                      <w:rFonts w:ascii="仿宋_GB2312" w:hAnsi="仿宋_GB2312" w:cs="仿宋_GB2312" w:eastAsia="仿宋_GB2312"/>
                      <w:sz w:val="21"/>
                    </w:rPr>
                    <w:t>3.2灯光系统：包括光束灯、LED灯（筒灯）、面光灯、Truss架、灯光控制台、轨道射灯、造型灯带、染色灯（帕灯）、电脑灯、切割灯、LOGO灯、LED灯箱、追光灯等。</w:t>
                  </w:r>
                </w:p>
                <w:p>
                  <w:pPr>
                    <w:pStyle w:val="null3"/>
                    <w:ind w:firstLine="480"/>
                    <w:jc w:val="both"/>
                  </w:pPr>
                  <w:r>
                    <w:rPr>
                      <w:rFonts w:ascii="仿宋_GB2312" w:hAnsi="仿宋_GB2312" w:cs="仿宋_GB2312" w:eastAsia="仿宋_GB2312"/>
                      <w:sz w:val="21"/>
                    </w:rPr>
                    <w:t>3.3活动主席台系统：主席台搭建、延展布置、地毯铺装等。</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活动物料</w:t>
                  </w:r>
                </w:p>
                <w:p>
                  <w:pPr>
                    <w:pStyle w:val="null3"/>
                    <w:ind w:firstLine="480"/>
                    <w:jc w:val="both"/>
                  </w:pPr>
                  <w:r>
                    <w:rPr>
                      <w:rFonts w:ascii="仿宋_GB2312" w:hAnsi="仿宋_GB2312" w:cs="仿宋_GB2312" w:eastAsia="仿宋_GB2312"/>
                      <w:sz w:val="21"/>
                    </w:rPr>
                    <w:t>1.基础耗材：活动证件、桌牌、宣传活动手册、流程单、资料、海报等。</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宣传展板</w:t>
                  </w:r>
                  <w:r>
                    <w:rPr>
                      <w:rFonts w:ascii="仿宋_GB2312" w:hAnsi="仿宋_GB2312" w:cs="仿宋_GB2312" w:eastAsia="仿宋_GB2312"/>
                      <w:sz w:val="21"/>
                    </w:rPr>
                    <w:t>：常规展板、桁架展板（铝型材海报架、铝型材海报架、可伸缩铝型材海报架、立屏展架、双面立屏展架、不锈钢宣传栏、户外桁架搭建）。</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活动实施</w:t>
                  </w:r>
                </w:p>
                <w:p>
                  <w:pPr>
                    <w:pStyle w:val="null3"/>
                    <w:ind w:firstLine="480"/>
                    <w:jc w:val="both"/>
                  </w:pPr>
                  <w:r>
                    <w:rPr>
                      <w:rFonts w:ascii="仿宋_GB2312" w:hAnsi="仿宋_GB2312" w:cs="仿宋_GB2312" w:eastAsia="仿宋_GB2312"/>
                      <w:sz w:val="21"/>
                    </w:rPr>
                    <w:t>1.人员费用：包括活动执行人员、策划设计师费用、摄影/摄像人员费用、辅助人员费用（如安保人员、音响师、市场调查人员、主持人、司仪等)、车辆租赁、LED大屏使用费。</w:t>
                  </w:r>
                </w:p>
                <w:p>
                  <w:pPr>
                    <w:pStyle w:val="null3"/>
                    <w:ind w:firstLine="480"/>
                    <w:jc w:val="both"/>
                  </w:pPr>
                  <w:r>
                    <w:rPr>
                      <w:rFonts w:ascii="仿宋_GB2312" w:hAnsi="仿宋_GB2312" w:cs="仿宋_GB2312" w:eastAsia="仿宋_GB2312"/>
                      <w:sz w:val="21"/>
                      <w:b/>
                    </w:rPr>
                    <w:t>（</w:t>
                  </w:r>
                  <w:r>
                    <w:rPr>
                      <w:rFonts w:ascii="仿宋_GB2312" w:hAnsi="仿宋_GB2312" w:cs="仿宋_GB2312" w:eastAsia="仿宋_GB2312"/>
                      <w:sz w:val="21"/>
                      <w:b/>
                    </w:rPr>
                    <w:t>五</w:t>
                  </w:r>
                  <w:r>
                    <w:rPr>
                      <w:rFonts w:ascii="仿宋_GB2312" w:hAnsi="仿宋_GB2312" w:cs="仿宋_GB2312" w:eastAsia="仿宋_GB2312"/>
                      <w:sz w:val="21"/>
                      <w:b/>
                    </w:rPr>
                    <w:t>）</w:t>
                  </w:r>
                  <w:r>
                    <w:rPr>
                      <w:rFonts w:ascii="仿宋_GB2312" w:hAnsi="仿宋_GB2312" w:cs="仿宋_GB2312" w:eastAsia="仿宋_GB2312"/>
                      <w:sz w:val="21"/>
                      <w:b/>
                    </w:rPr>
                    <w:t>新闻宣传</w:t>
                  </w:r>
                </w:p>
                <w:p>
                  <w:pPr>
                    <w:pStyle w:val="null3"/>
                    <w:ind w:firstLine="480"/>
                    <w:jc w:val="both"/>
                  </w:pPr>
                  <w:r>
                    <w:rPr>
                      <w:rFonts w:ascii="仿宋_GB2312" w:hAnsi="仿宋_GB2312" w:cs="仿宋_GB2312" w:eastAsia="仿宋_GB2312"/>
                      <w:sz w:val="21"/>
                    </w:rPr>
                    <w:t>1.宣传片。</w:t>
                  </w:r>
                </w:p>
                <w:p>
                  <w:pPr>
                    <w:pStyle w:val="null3"/>
                    <w:ind w:firstLine="480"/>
                    <w:jc w:val="both"/>
                  </w:pPr>
                  <w:r>
                    <w:rPr>
                      <w:rFonts w:ascii="仿宋_GB2312" w:hAnsi="仿宋_GB2312" w:cs="仿宋_GB2312" w:eastAsia="仿宋_GB2312"/>
                      <w:sz w:val="21"/>
                    </w:rPr>
                    <w:t>2.视频直播。</w:t>
                  </w:r>
                </w:p>
                <w:p>
                  <w:pPr>
                    <w:pStyle w:val="null3"/>
                    <w:ind w:firstLine="480"/>
                    <w:jc w:val="both"/>
                  </w:pPr>
                  <w:r>
                    <w:rPr>
                      <w:rFonts w:ascii="仿宋_GB2312" w:hAnsi="仿宋_GB2312" w:cs="仿宋_GB2312" w:eastAsia="仿宋_GB2312"/>
                      <w:sz w:val="21"/>
                    </w:rPr>
                    <w:t>3.图文直播。</w:t>
                  </w:r>
                </w:p>
                <w:p>
                  <w:pPr>
                    <w:pStyle w:val="null3"/>
                    <w:ind w:firstLine="480"/>
                    <w:jc w:val="both"/>
                  </w:pPr>
                  <w:r>
                    <w:rPr>
                      <w:rFonts w:ascii="仿宋_GB2312" w:hAnsi="仿宋_GB2312" w:cs="仿宋_GB2312" w:eastAsia="仿宋_GB2312"/>
                      <w:sz w:val="21"/>
                    </w:rPr>
                    <w:t>4.摇臂：限现场直播使用。</w:t>
                  </w:r>
                </w:p>
                <w:p>
                  <w:pPr>
                    <w:pStyle w:val="null3"/>
                    <w:ind w:firstLine="480"/>
                    <w:jc w:val="both"/>
                  </w:pPr>
                  <w:r>
                    <w:rPr>
                      <w:rFonts w:ascii="仿宋_GB2312" w:hAnsi="仿宋_GB2312" w:cs="仿宋_GB2312" w:eastAsia="仿宋_GB2312"/>
                      <w:sz w:val="21"/>
                    </w:rPr>
                    <w:t>5.导播台:限现场直播使用。</w:t>
                  </w:r>
                </w:p>
                <w:p>
                  <w:pPr>
                    <w:pStyle w:val="null3"/>
                    <w:jc w:val="left"/>
                  </w:pPr>
                  <w:r>
                    <w:rPr>
                      <w:rFonts w:ascii="仿宋_GB2312" w:hAnsi="仿宋_GB2312" w:cs="仿宋_GB2312" w:eastAsia="仿宋_GB2312"/>
                      <w:sz w:val="21"/>
                    </w:rPr>
                    <w:t>供应商报价包括该项目所发生的设备、材料、运输费、杂费（含保险）、搬运费、安装费等，包括项目实施至结束的一切费用。</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合同签订之日起至活动举办完成。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 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项目整体内容完成组织验收，通过验收后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均应严格按照本合同约定，全面、适当履行各自的合同义务。任何一方未履行、未完全履行或未按合同约定履行其义务的，均构成违约；违约方应承担相应的违约责任，赔偿因其违约行为给守约方造成的全部实际损失（包括但不限于直接损失、合理预期收益损失及为维权支出的合理费用）。</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（1）落实异常低价审查 （1.1）评审中出现下列情形之一的，评标委员会应当启动异常低价投标（响应）审查程序： （1.1.1）投标（响应）报价低于全部通过符合性审查供应商投标（响应）报价平均值50%的，即投标（响应）报价&lt;全部通过符合性审查供应商投标（响应）报价平均值×50%； （1.1.2）投标（响应）报价低于通过符合性审查的次低报价供应商投标（响应）报价50%的，即投标（响应）报价&lt;通过符合性审查的次低报价供应商投标（响应）报价×50%； （1.1.3）投标（响应）报价低于采购项目最高限价45%的，即投标（响应）报价&lt;采购项目最高限价×45%； （1.1.4）评标委员会基于专业判断，认为供应商报价过低，有可能影响产品质量或者不能诚信履约的其他情形。 （1.2）相关法律法规对供应商报价有规定的，从其规定。 （1.3）评标委员会启动异常低价投标（响应）审查后，属于（2.1）中第（2.1.1）项至第（2.1.4）项情形的，应当要求相关供应商在评审现场合理的时间内对投标（响应）价格作出解释，提供项目具体成本测算等与报价合理性相关的书面说明及必要的证明材料，包括但不限于原材料成本、人工成本、制造费用等。其中，属于第（2.1.3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2）供应商需要在线提交所有通过电子化交易平台实施的政府采购项目的响应文件，同时，线下提交纸质响应文件贰份；若电子响应文件与纸质响应文件不一致的，以电子响应文件为准；响应文件装订成册密封（在书脊处标明项目名称、供应商名称（机打或手写均可），逐页标注连页码），在封口处加盖供应商公章；纸质响应文件递交截止时间与线上开评标时间一致；纸质响应文件可邮寄递交，应于递交响应文件截止时间前邮寄到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磋商文件中凡是需要法定代表人盖章之处，非法人单位的负责人均参照执行。 法人的分支机构参与磋商时，除提供《法定代表人授权委托书》、《法定代表人证明书》外，还须同时提供法人给分支机构出具的授权书。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非联合体不分包响应声明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响应文件封面、响应函、法定代表人（负责人）授权委托书三处的项目名称、项目编号、标段（如有）</w:t>
            </w:r>
          </w:p>
        </w:tc>
        <w:tc>
          <w:tcPr>
            <w:tcW w:type="dxa" w:w="3322"/>
          </w:tcPr>
          <w:p>
            <w:pPr>
              <w:pStyle w:val="null3"/>
            </w:pPr>
            <w:r>
              <w:rPr>
                <w:rFonts w:ascii="仿宋_GB2312" w:hAnsi="仿宋_GB2312" w:cs="仿宋_GB2312" w:eastAsia="仿宋_GB2312"/>
              </w:rPr>
              <w:t>三处均无遗漏，且与所投项目名称、项目编号、标段（如有）一致。</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服务内容及服务邀请应答表 保证金汇款声明函 分项报价表 中小企业声明函 商务应答表 供应商应提交的相关资格证明材料 报价表 非联合体不分包响应声明 控股管理关系 法定代表人授权书 响应文件封面 近三年无重大违法、违纪书面声明 残疾人福利性单位声明函 标的清单 响应函 书面声明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 （2）响应报价表填写符合要求；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完全理解接受并签署磋商文件商务条款响应表。</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供应商提供针对本项目采购需求的理解，至少应包括：①工作重点；②关键点分析；③工作难点；④服务优势。包含但不限于上述全部内容，且方案详细，清晰有利于项目的得满分。(如有缺陷或不足在此分数基础上进行扣分)，以上4项中：（1）每有1项缺失或内容无法满足项目需求的扣3分；（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根据供应商针对本项目提供详细的服务方案，至少应包括：①场地布置方案；②物料制作；③现场实施；④后勤保障服务方案。 包含但不限于上述全部内容，且方案详细，清晰有利于项目的得满分(如有缺陷或不足在此分数基础上进行扣分)，以上4项中：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根据供应商针对本项目提供详细的宣传推广方案，至少应包括：①线下宣传方案；②线上宣传方案；③宣传内容方案；④具传播效果方案。 包含但不限于上述全部内容，且方案详细，清晰有利于项目的得满分(如有缺陷或不足在此分数基础上进行扣分)，以上4项中：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根据供应商针对本项目提供详细的进度保障措施，至少应包括：①具体详细的工作计划；②具有合理的阶段划分；③明确各阶段有明确的工作目标；④具有可行的时间进度安排； 包含但不限于上述全部内容，且方案详细，清晰有利于项目的得满分(如有缺陷或不足在此分数基础上进行扣分)，以上4项中： （1）每有1项缺失或内容无法满足项目需求的扣3分； （2）有1项中内容存在缺陷或不足（是指内容方案缺少关键点；对同一问题前后表述矛盾；存在逻辑漏洞、科学原理或常识错误；不利于本项目采购目标实现等任意一种情形）扣2分； （3）每有1项内容存在部分瑕疵（是指内容基本完备可行，但存在部分不符合项目实际或有细节错误之处，不利于项目）扣1分。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根据供应商针对本项目提供详细的项目人员配备方案，至少应包括：①团队岗位人员的配备；②人员具有合理的定岗分工、安保服务的细则。 包含但不限于上述全部内容，且方案详细，清晰有利于项目的得满分(如有缺陷或不足在此分数基础上进行扣分)，以上2项中： （1）每有1项缺失或内容无法满足项目需求的扣2分； （2）有1项中内容存在缺陷或不足（是指内容方案缺少关键点；对同一问题前后表述矛盾；存在逻辑漏洞、科学原理或常识错误；不利于本项目采购目标实现等任意一种情形）扣1分； （3）每有1项内容存在部分瑕疵（是指内容基本完备可行，但存在部分不符合项目实际或有细节错误之处，不利于项目）扣0.5分。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根据供应商针对本项目提供详细的服务承诺，至少应包括：①设备保障承诺；②人员值守承诺；③进度履约承诺；④场地清理承诺；⑤售后保障承诺。 包含但不限于上述全部内容，且方案详细，清晰有利于项目的得满分(如有缺陷或不足在此分数基础上进行扣分)，以上5项中： （1）每有1项缺失或内容无法满足项目需求的扣2分； （2）有1项中内容存在缺陷或不足（是指内容方案缺少关键点；对同一问题前后表述矛盾；存在逻辑漏洞、科学原理或常识错误；不利于本项目采购目标实现等任意一种情形）扣1分； （3）每有1项内容存在部分瑕疵（是指内容基本完备可行，但存在部分不符合项目实际或有细节错误之处，不利于项目）扣0.5分。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根据供应商针对本项目提供详细的应急预案，至少应包括：①设备故障应急预案；②人群疏导应急预案；③恶劣天气应急预案；④突发安全应急预案；⑤物料短缺应急预案。 包含但不限于上述全部内容，且方案详细，清晰有利于项目的得满分(如有缺陷或不足在此分数基础上进行扣分)，以上5项中： （1）每有1项缺失或内容无法满足项目需求的扣2分； （2）有1项中内容存在缺陷或不足（是指内容方案缺少关键点；对同一问题前后表述矛盾；存在逻辑漏洞、科学原理或常识错误；不利于本项目采购目标实现等任意一种情形）扣1分； （3）每有1项内容存在部分瑕疵（是指内容基本完备可行，但存在部分不符合项目实际或有细节错误之处，不利于项目）扣0.5分。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根据供应商针对本项目提供详细的合理化建议，至少应包括：①宣传形式优化建议；②场地布置优化建议；③现场服务优化建议；④成本控制优化建议；⑤活动效果提升建议。 包含但不限于上述全部内容，且方案详细，清晰有利于项目的得满分(如有缺陷或不足在此分数基础上进行扣分)，以上5项中： （1）每有1项缺失或内容无法满足项目需求的扣2分； （2）有1项中内容存在缺陷或不足（是指内容方案缺少关键点；对同一问题前后表述矛盾；存在逻辑漏洞、科学原理或常识错误；不利于本项目采购目标实现等任意一种情形）扣1分； （3）每有1项内容存在部分瑕疵（是指内容基本完备可行，但存在部分不符合项目实际或有细节错误之处，不利于项目）扣0.5分。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供应商提供2023年1月1日至响应截止日期承接的类似项目业绩，每份合格业绩计2分，满分8分； 备注：供应商需提供业绩合同证明材料（至少应包含内容关键页、签订日期与签章页），提供不全或无法辨识的不得分。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详见附件：非联合体不分包响应声明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