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0196BD">
      <w:pPr>
        <w:wordWrap w:val="0"/>
        <w:topLinePunct/>
        <w:spacing w:line="500" w:lineRule="exact"/>
        <w:jc w:val="center"/>
        <w:outlineLvl w:val="0"/>
        <w:rPr>
          <w:rFonts w:ascii="宋体" w:hAnsi="宋体" w:cs="宋体"/>
          <w:b/>
          <w:bCs/>
          <w:highlight w:val="none"/>
          <w:u w:val="single"/>
        </w:rPr>
      </w:pPr>
      <w:r>
        <w:rPr>
          <w:rStyle w:val="5"/>
          <w:rFonts w:hint="eastAsia" w:ascii="黑体" w:hAnsi="黑体" w:eastAsia="黑体" w:cs="黑体"/>
          <w:sz w:val="32"/>
          <w:szCs w:val="32"/>
          <w:highlight w:val="none"/>
        </w:rPr>
        <w:t>拟签订合同文本</w:t>
      </w:r>
    </w:p>
    <w:p w14:paraId="1CED5D8A">
      <w:pPr>
        <w:spacing w:line="360" w:lineRule="auto"/>
        <w:ind w:firstLine="481"/>
        <w:jc w:val="left"/>
        <w:rPr>
          <w:rFonts w:ascii="黑体" w:hAnsi="??" w:eastAsia="黑体" w:cs="??"/>
          <w:b/>
          <w:sz w:val="22"/>
          <w:szCs w:val="20"/>
          <w:highlight w:val="none"/>
          <w:u w:val="single"/>
        </w:rPr>
      </w:pPr>
      <w:r>
        <w:rPr>
          <w:rFonts w:hint="eastAsia" w:ascii="黑体" w:hAnsi="??" w:eastAsia="黑体" w:cs="??"/>
          <w:b/>
          <w:sz w:val="22"/>
          <w:szCs w:val="20"/>
          <w:highlight w:val="none"/>
          <w:u w:val="single"/>
        </w:rPr>
        <w:t>注：本合同仅为合同的参考文本，合同签订双方可根据项目的具体要求进行修订。</w:t>
      </w:r>
    </w:p>
    <w:p w14:paraId="64A44AC0">
      <w:pPr>
        <w:spacing w:line="360" w:lineRule="auto"/>
        <w:ind w:firstLine="481"/>
        <w:jc w:val="left"/>
        <w:rPr>
          <w:rFonts w:ascii="黑体" w:hAnsi="??" w:eastAsia="黑体" w:cs="??"/>
          <w:b/>
          <w:sz w:val="22"/>
          <w:szCs w:val="20"/>
          <w:highlight w:val="none"/>
        </w:rPr>
      </w:pPr>
    </w:p>
    <w:p w14:paraId="7EC787E9">
      <w:pPr>
        <w:spacing w:line="360" w:lineRule="auto"/>
        <w:jc w:val="center"/>
        <w:rPr>
          <w:rFonts w:ascii="黑体" w:hAnsi="仿宋" w:eastAsia="黑体" w:cs="Times New Roman"/>
          <w:sz w:val="32"/>
          <w:szCs w:val="32"/>
          <w:highlight w:val="none"/>
        </w:rPr>
      </w:pPr>
      <w:bookmarkStart w:id="0" w:name="_Toc19396"/>
      <w:bookmarkStart w:id="1" w:name="_Toc17018"/>
      <w:bookmarkStart w:id="2" w:name="_Toc25256"/>
      <w:bookmarkStart w:id="3" w:name="_Toc23240"/>
      <w:bookmarkStart w:id="4" w:name="_Toc484353362"/>
      <w:bookmarkStart w:id="5" w:name="_Toc24759"/>
      <w:bookmarkStart w:id="6" w:name="_Toc24645"/>
      <w:bookmarkStart w:id="7" w:name="_Toc483349426"/>
      <w:r>
        <w:rPr>
          <w:rFonts w:hint="eastAsia" w:ascii="黑体" w:hAnsi="仿宋" w:eastAsia="黑体" w:cs="黑体"/>
          <w:b/>
          <w:bCs/>
          <w:sz w:val="32"/>
          <w:szCs w:val="32"/>
          <w:highlight w:val="none"/>
        </w:rPr>
        <w:t>一、</w:t>
      </w:r>
      <w:bookmarkEnd w:id="0"/>
      <w:r>
        <w:rPr>
          <w:rFonts w:hint="eastAsia" w:ascii="黑体" w:hAnsi="黑体" w:eastAsia="黑体" w:cs="黑体"/>
          <w:b/>
          <w:bCs/>
          <w:sz w:val="32"/>
          <w:szCs w:val="32"/>
          <w:highlight w:val="none"/>
        </w:rPr>
        <w:t>政府采购合同</w:t>
      </w:r>
      <w:bookmarkEnd w:id="1"/>
      <w:bookmarkEnd w:id="2"/>
      <w:bookmarkEnd w:id="3"/>
      <w:bookmarkEnd w:id="4"/>
      <w:bookmarkEnd w:id="5"/>
      <w:bookmarkEnd w:id="6"/>
      <w:bookmarkEnd w:id="7"/>
    </w:p>
    <w:p w14:paraId="18450393">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u w:val="single"/>
          <w:lang w:val="zh-CN"/>
        </w:rPr>
        <w:t xml:space="preserve">        </w:t>
      </w:r>
      <w:r>
        <w:rPr>
          <w:rFonts w:hint="eastAsia" w:ascii="宋体" w:hAnsi="宋体" w:cs="宋体"/>
          <w:sz w:val="24"/>
          <w:szCs w:val="24"/>
          <w:highlight w:val="none"/>
          <w:lang w:val="zh-CN"/>
        </w:rPr>
        <w:t>年</w:t>
      </w:r>
      <w:r>
        <w:rPr>
          <w:rFonts w:hint="eastAsia" w:ascii="宋体" w:hAnsi="宋体" w:cs="宋体"/>
          <w:sz w:val="24"/>
          <w:szCs w:val="24"/>
          <w:highlight w:val="none"/>
          <w:u w:val="single"/>
          <w:lang w:val="zh-CN"/>
        </w:rPr>
        <w:t xml:space="preserve">    </w:t>
      </w:r>
      <w:r>
        <w:rPr>
          <w:rFonts w:hint="eastAsia" w:ascii="宋体" w:hAnsi="宋体" w:cs="宋体"/>
          <w:sz w:val="24"/>
          <w:szCs w:val="24"/>
          <w:highlight w:val="none"/>
          <w:lang w:val="zh-CN"/>
        </w:rPr>
        <w:t>月</w:t>
      </w:r>
      <w:r>
        <w:rPr>
          <w:rFonts w:hint="eastAsia" w:ascii="宋体" w:hAnsi="宋体" w:cs="宋体"/>
          <w:sz w:val="24"/>
          <w:szCs w:val="24"/>
          <w:highlight w:val="none"/>
          <w:u w:val="single"/>
          <w:lang w:val="zh-CN"/>
        </w:rPr>
        <w:t xml:space="preserve">    </w:t>
      </w:r>
      <w:r>
        <w:rPr>
          <w:rFonts w:hint="eastAsia" w:ascii="宋体" w:hAnsi="宋体" w:cs="宋体"/>
          <w:sz w:val="24"/>
          <w:szCs w:val="24"/>
          <w:highlight w:val="none"/>
          <w:lang w:val="zh-CN"/>
        </w:rPr>
        <w:t>日</w:t>
      </w:r>
      <w:r>
        <w:rPr>
          <w:rFonts w:hint="eastAsia" w:ascii="宋体" w:hAnsi="宋体" w:cs="宋体"/>
          <w:sz w:val="24"/>
          <w:szCs w:val="24"/>
          <w:highlight w:val="none"/>
        </w:rPr>
        <w:t>，</w:t>
      </w:r>
      <w:r>
        <w:rPr>
          <w:rFonts w:hint="eastAsia" w:ascii="宋体" w:hAnsi="宋体" w:cs="宋体"/>
          <w:sz w:val="24"/>
          <w:szCs w:val="24"/>
          <w:highlight w:val="none"/>
          <w:u w:val="single"/>
        </w:rPr>
        <w:t>（采购人）</w:t>
      </w:r>
      <w:r>
        <w:rPr>
          <w:rFonts w:hint="eastAsia" w:ascii="宋体" w:hAnsi="宋体" w:cs="宋体"/>
          <w:sz w:val="24"/>
          <w:szCs w:val="24"/>
          <w:highlight w:val="none"/>
        </w:rPr>
        <w:t>（以下简称“甲方”）以</w:t>
      </w:r>
      <w:r>
        <w:rPr>
          <w:rFonts w:hint="eastAsia" w:ascii="宋体" w:hAnsi="宋体" w:cs="宋体"/>
          <w:sz w:val="24"/>
          <w:szCs w:val="24"/>
          <w:highlight w:val="none"/>
          <w:u w:val="single"/>
        </w:rPr>
        <w:t>竞争性磋商</w:t>
      </w:r>
      <w:r>
        <w:rPr>
          <w:rFonts w:hint="eastAsia" w:ascii="宋体" w:hAnsi="宋体" w:cs="宋体"/>
          <w:sz w:val="24"/>
          <w:szCs w:val="24"/>
          <w:highlight w:val="none"/>
        </w:rPr>
        <w:t>的方式对</w:t>
      </w:r>
      <w:r>
        <w:rPr>
          <w:rFonts w:hint="eastAsia" w:ascii="宋体" w:hAnsi="宋体" w:cs="宋体"/>
          <w:sz w:val="24"/>
          <w:szCs w:val="24"/>
          <w:highlight w:val="none"/>
          <w:u w:val="single"/>
        </w:rPr>
        <w:t>“</w:t>
      </w:r>
      <w:r>
        <w:rPr>
          <w:rFonts w:hint="eastAsia" w:ascii="宋体" w:hAnsi="宋体"/>
          <w:sz w:val="24"/>
          <w:highlight w:val="none"/>
          <w:u w:val="single"/>
        </w:rPr>
        <w:t>（</w:t>
      </w:r>
      <w:r>
        <w:rPr>
          <w:rFonts w:hint="eastAsia" w:hAnsi="宋体"/>
          <w:sz w:val="24"/>
          <w:szCs w:val="24"/>
          <w:highlight w:val="none"/>
          <w:u w:val="single"/>
        </w:rPr>
        <w:t>项目名称）</w:t>
      </w:r>
      <w:r>
        <w:rPr>
          <w:rFonts w:hint="eastAsia" w:ascii="宋体" w:hAnsi="宋体" w:cs="宋体"/>
          <w:sz w:val="24"/>
          <w:szCs w:val="24"/>
          <w:highlight w:val="none"/>
          <w:u w:val="single"/>
        </w:rPr>
        <w:t>”</w:t>
      </w:r>
      <w:r>
        <w:rPr>
          <w:rFonts w:hint="eastAsia" w:ascii="宋体" w:hAnsi="宋体" w:cs="宋体"/>
          <w:sz w:val="24"/>
          <w:szCs w:val="24"/>
          <w:highlight w:val="none"/>
        </w:rPr>
        <w:t>（项目编号：（项目编号））进行了采购。经</w:t>
      </w:r>
      <w:r>
        <w:rPr>
          <w:rFonts w:hint="eastAsia" w:ascii="宋体" w:hAnsi="宋体" w:cs="宋体"/>
          <w:sz w:val="24"/>
          <w:szCs w:val="24"/>
          <w:highlight w:val="none"/>
          <w:u w:val="single"/>
        </w:rPr>
        <w:t>磋商小组</w:t>
      </w:r>
      <w:r>
        <w:rPr>
          <w:rFonts w:hint="eastAsia" w:ascii="宋体" w:hAnsi="宋体" w:cs="宋体"/>
          <w:sz w:val="24"/>
          <w:szCs w:val="24"/>
          <w:highlight w:val="none"/>
        </w:rPr>
        <w:t>评定，</w:t>
      </w:r>
      <w:r>
        <w:rPr>
          <w:rFonts w:hint="eastAsia" w:ascii="宋体" w:hAnsi="宋体" w:cs="宋体"/>
          <w:sz w:val="24"/>
          <w:szCs w:val="24"/>
          <w:highlight w:val="none"/>
          <w:u w:val="single"/>
        </w:rPr>
        <w:t xml:space="preserve">  （成交供应商名称） </w:t>
      </w:r>
      <w:r>
        <w:rPr>
          <w:rFonts w:hint="eastAsia" w:ascii="宋体" w:hAnsi="宋体" w:cs="宋体"/>
          <w:sz w:val="24"/>
          <w:szCs w:val="24"/>
          <w:highlight w:val="none"/>
        </w:rPr>
        <w:t>（以下简称“乙方”）为该项目成交供应商。现于成交通知书发出之日起三十日内，按照采购文件确定的事项签订本合同。</w:t>
      </w:r>
    </w:p>
    <w:p w14:paraId="6385B88D">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lang w:val="zh-CN"/>
        </w:rPr>
        <w:t>根据《中华人民共和国</w:t>
      </w:r>
      <w:r>
        <w:rPr>
          <w:rFonts w:hint="eastAsia" w:ascii="宋体" w:hAnsi="宋体" w:cs="宋体"/>
          <w:sz w:val="24"/>
          <w:szCs w:val="24"/>
          <w:highlight w:val="none"/>
        </w:rPr>
        <w:t>民法典</w:t>
      </w:r>
      <w:r>
        <w:rPr>
          <w:rFonts w:hint="eastAsia" w:ascii="宋体" w:hAnsi="宋体" w:cs="宋体"/>
          <w:sz w:val="24"/>
          <w:szCs w:val="24"/>
          <w:highlight w:val="none"/>
          <w:lang w:val="zh-CN"/>
        </w:rPr>
        <w:t>》、《中华人民共和国政府采购法》等相关法律法规之规定，按照平等、自愿、公平和诚实信用的原则，经甲方和乙方协商一致，约定以下合同</w:t>
      </w:r>
      <w:r>
        <w:rPr>
          <w:rFonts w:hint="eastAsia" w:ascii="宋体" w:hAnsi="宋体" w:cs="宋体"/>
          <w:sz w:val="24"/>
          <w:szCs w:val="24"/>
          <w:highlight w:val="none"/>
        </w:rPr>
        <w:t>条款，以兹共同遵守、全面履行。</w:t>
      </w:r>
    </w:p>
    <w:p w14:paraId="70DB78C4">
      <w:pPr>
        <w:spacing w:line="360" w:lineRule="auto"/>
        <w:ind w:firstLine="482" w:firstLineChars="200"/>
        <w:rPr>
          <w:rFonts w:ascii="宋体" w:hAnsi="宋体" w:cs="宋体"/>
          <w:sz w:val="24"/>
          <w:szCs w:val="24"/>
          <w:highlight w:val="none"/>
        </w:rPr>
      </w:pPr>
      <w:bookmarkStart w:id="8" w:name="_Toc6601"/>
      <w:bookmarkStart w:id="9" w:name="_Toc22967"/>
      <w:bookmarkStart w:id="10" w:name="_Toc19273"/>
      <w:bookmarkStart w:id="11" w:name="_Toc20421"/>
      <w:bookmarkStart w:id="12" w:name="_Toc9470"/>
      <w:bookmarkStart w:id="13" w:name="_Toc28855"/>
      <w:bookmarkStart w:id="14" w:name="_Toc15367"/>
      <w:bookmarkStart w:id="15" w:name="_Toc26482"/>
      <w:r>
        <w:rPr>
          <w:rFonts w:hint="eastAsia" w:ascii="宋体" w:hAnsi="宋体" w:cs="宋体"/>
          <w:b/>
          <w:sz w:val="24"/>
          <w:szCs w:val="24"/>
          <w:highlight w:val="none"/>
        </w:rPr>
        <w:t>1.1合同组成部分</w:t>
      </w:r>
      <w:bookmarkEnd w:id="8"/>
      <w:bookmarkEnd w:id="9"/>
      <w:bookmarkEnd w:id="10"/>
      <w:bookmarkEnd w:id="11"/>
      <w:bookmarkEnd w:id="12"/>
      <w:bookmarkEnd w:id="13"/>
      <w:bookmarkEnd w:id="14"/>
      <w:bookmarkEnd w:id="15"/>
    </w:p>
    <w:p w14:paraId="6B80A9AE">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下列文件为本合同的组成部分，并构成一个整体，需综合解释、相互补充。如果下列文件内容出现不一致的情形，那么在保证按照采购文件确定的事项的前提下，组成本合同的多个文件的优先适用顺序如下：</w:t>
      </w:r>
    </w:p>
    <w:p w14:paraId="08EC99B5">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1.1.1本合同及其补充合同、变更协议；</w:t>
      </w:r>
    </w:p>
    <w:p w14:paraId="1A306FC0">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1.1.2成交通知书；</w:t>
      </w:r>
    </w:p>
    <w:p w14:paraId="03CF0973">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1.1.3响应文件（含澄清或者说明文件）；</w:t>
      </w:r>
    </w:p>
    <w:p w14:paraId="177F31B1">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1.1.4竞争性磋商文件（含澄清或者修改文件）；</w:t>
      </w:r>
    </w:p>
    <w:p w14:paraId="0522EABD">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1.1.5其他相关采购文件。</w:t>
      </w:r>
    </w:p>
    <w:p w14:paraId="4194E059">
      <w:pPr>
        <w:spacing w:line="360" w:lineRule="auto"/>
        <w:ind w:firstLine="482" w:firstLineChars="200"/>
        <w:rPr>
          <w:rFonts w:ascii="宋体" w:hAnsi="宋体" w:cs="宋体"/>
          <w:b/>
          <w:sz w:val="24"/>
          <w:szCs w:val="24"/>
          <w:highlight w:val="none"/>
        </w:rPr>
      </w:pPr>
      <w:bookmarkStart w:id="16" w:name="_Toc18557"/>
      <w:bookmarkStart w:id="17" w:name="_Toc6773"/>
      <w:bookmarkStart w:id="18" w:name="_Toc18585"/>
      <w:bookmarkStart w:id="19" w:name="_Toc6311"/>
      <w:bookmarkStart w:id="20" w:name="_Toc2918"/>
      <w:bookmarkStart w:id="21" w:name="_Toc16407"/>
      <w:bookmarkStart w:id="22" w:name="_Toc30141"/>
      <w:bookmarkStart w:id="23" w:name="_Toc22185"/>
      <w:r>
        <w:rPr>
          <w:rFonts w:hint="eastAsia" w:ascii="宋体" w:hAnsi="宋体" w:cs="宋体"/>
          <w:b/>
          <w:sz w:val="24"/>
          <w:szCs w:val="24"/>
          <w:highlight w:val="none"/>
        </w:rPr>
        <w:t>1.2标的</w:t>
      </w:r>
      <w:bookmarkEnd w:id="16"/>
      <w:bookmarkEnd w:id="17"/>
      <w:bookmarkEnd w:id="18"/>
      <w:bookmarkEnd w:id="19"/>
      <w:bookmarkEnd w:id="20"/>
      <w:bookmarkEnd w:id="21"/>
      <w:bookmarkEnd w:id="22"/>
      <w:bookmarkEnd w:id="23"/>
    </w:p>
    <w:p w14:paraId="145B6C3C">
      <w:pPr>
        <w:spacing w:line="360" w:lineRule="auto"/>
        <w:ind w:firstLine="480" w:firstLineChars="200"/>
        <w:rPr>
          <w:rFonts w:ascii="宋体" w:hAnsi="宋体" w:cs="宋体"/>
          <w:sz w:val="24"/>
          <w:szCs w:val="24"/>
          <w:highlight w:val="none"/>
          <w:u w:val="single"/>
        </w:rPr>
      </w:pPr>
      <w:r>
        <w:rPr>
          <w:rFonts w:hint="eastAsia" w:ascii="宋体" w:hAnsi="宋体" w:cs="宋体"/>
          <w:sz w:val="24"/>
          <w:szCs w:val="24"/>
          <w:highlight w:val="none"/>
        </w:rPr>
        <w:t>1.2.1标的名称：</w:t>
      </w:r>
      <w:r>
        <w:rPr>
          <w:rFonts w:hint="eastAsia" w:ascii="宋体" w:hAnsi="宋体" w:cs="宋体"/>
          <w:sz w:val="24"/>
          <w:szCs w:val="24"/>
          <w:highlight w:val="none"/>
          <w:u w:val="single"/>
        </w:rPr>
        <w:t xml:space="preserve">         </w:t>
      </w:r>
      <w:r>
        <w:rPr>
          <w:rFonts w:hint="eastAsia" w:ascii="宋体" w:hAnsi="宋体" w:cs="宋体"/>
          <w:sz w:val="24"/>
          <w:szCs w:val="24"/>
          <w:highlight w:val="none"/>
        </w:rPr>
        <w:t>；</w:t>
      </w:r>
    </w:p>
    <w:p w14:paraId="777EB8CE">
      <w:pPr>
        <w:spacing w:line="360" w:lineRule="auto"/>
        <w:ind w:firstLine="480" w:firstLineChars="200"/>
        <w:rPr>
          <w:rFonts w:ascii="宋体" w:hAnsi="宋体" w:cs="宋体"/>
          <w:sz w:val="24"/>
          <w:szCs w:val="24"/>
          <w:highlight w:val="none"/>
          <w:u w:val="single"/>
        </w:rPr>
      </w:pPr>
      <w:r>
        <w:rPr>
          <w:rFonts w:hint="eastAsia" w:ascii="宋体" w:hAnsi="宋体" w:cs="宋体"/>
          <w:sz w:val="24"/>
          <w:szCs w:val="24"/>
          <w:highlight w:val="none"/>
        </w:rPr>
        <w:t>1.2.2标的数量：</w:t>
      </w:r>
      <w:r>
        <w:rPr>
          <w:rFonts w:hint="eastAsia" w:ascii="宋体" w:hAnsi="宋体" w:cs="宋体"/>
          <w:sz w:val="24"/>
          <w:szCs w:val="24"/>
          <w:highlight w:val="none"/>
          <w:u w:val="single"/>
        </w:rPr>
        <w:t xml:space="preserve">       </w:t>
      </w:r>
      <w:r>
        <w:rPr>
          <w:rFonts w:hint="eastAsia" w:ascii="宋体" w:hAnsi="宋体" w:cs="宋体"/>
          <w:sz w:val="24"/>
          <w:szCs w:val="24"/>
          <w:highlight w:val="none"/>
        </w:rPr>
        <w:t>；</w:t>
      </w:r>
    </w:p>
    <w:p w14:paraId="4151042A">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1.2.3标的质量：</w:t>
      </w:r>
      <w:r>
        <w:rPr>
          <w:rFonts w:hint="eastAsia" w:ascii="宋体" w:hAnsi="宋体" w:cs="宋体"/>
          <w:sz w:val="24"/>
          <w:szCs w:val="24"/>
          <w:highlight w:val="none"/>
          <w:u w:val="single"/>
        </w:rPr>
        <w:t xml:space="preserve">       </w:t>
      </w:r>
      <w:r>
        <w:rPr>
          <w:rFonts w:hint="eastAsia" w:ascii="宋体" w:hAnsi="宋体" w:cs="宋体"/>
          <w:sz w:val="24"/>
          <w:szCs w:val="24"/>
          <w:highlight w:val="none"/>
        </w:rPr>
        <w:t>。</w:t>
      </w:r>
    </w:p>
    <w:p w14:paraId="1DC79DBD">
      <w:pPr>
        <w:spacing w:line="360" w:lineRule="auto"/>
        <w:ind w:firstLine="482" w:firstLineChars="200"/>
        <w:rPr>
          <w:rFonts w:ascii="宋体" w:hAnsi="宋体" w:cs="宋体"/>
          <w:b/>
          <w:sz w:val="24"/>
          <w:szCs w:val="24"/>
          <w:highlight w:val="none"/>
        </w:rPr>
      </w:pPr>
      <w:bookmarkStart w:id="24" w:name="_Toc21124"/>
      <w:bookmarkStart w:id="25" w:name="_Toc4929"/>
      <w:bookmarkStart w:id="26" w:name="_Toc21782"/>
      <w:bookmarkStart w:id="27" w:name="_Toc20141"/>
      <w:bookmarkStart w:id="28" w:name="_Toc5635"/>
      <w:bookmarkStart w:id="29" w:name="_Toc6409"/>
      <w:bookmarkStart w:id="30" w:name="_Toc1386"/>
      <w:bookmarkStart w:id="31" w:name="_Toc13918"/>
      <w:r>
        <w:rPr>
          <w:rFonts w:hint="eastAsia" w:ascii="宋体" w:hAnsi="宋体" w:cs="宋体"/>
          <w:b/>
          <w:sz w:val="24"/>
          <w:szCs w:val="24"/>
          <w:highlight w:val="none"/>
        </w:rPr>
        <w:t>1.3价款</w:t>
      </w:r>
      <w:bookmarkEnd w:id="24"/>
      <w:bookmarkEnd w:id="25"/>
      <w:bookmarkEnd w:id="26"/>
      <w:bookmarkEnd w:id="27"/>
      <w:bookmarkEnd w:id="28"/>
      <w:bookmarkEnd w:id="29"/>
      <w:bookmarkEnd w:id="30"/>
      <w:bookmarkEnd w:id="31"/>
    </w:p>
    <w:p w14:paraId="2FDC352D">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本合同总价为：￥</w:t>
      </w:r>
      <w:r>
        <w:rPr>
          <w:rFonts w:hint="eastAsia" w:ascii="宋体" w:hAnsi="宋体" w:cs="宋体"/>
          <w:sz w:val="24"/>
          <w:szCs w:val="24"/>
          <w:highlight w:val="none"/>
          <w:u w:val="single"/>
        </w:rPr>
        <w:t xml:space="preserve">           </w:t>
      </w:r>
      <w:r>
        <w:rPr>
          <w:rFonts w:hint="eastAsia" w:ascii="宋体" w:hAnsi="宋体" w:cs="宋体"/>
          <w:sz w:val="24"/>
          <w:szCs w:val="24"/>
          <w:highlight w:val="none"/>
        </w:rPr>
        <w:t>元（大写：</w:t>
      </w:r>
      <w:r>
        <w:rPr>
          <w:rFonts w:hint="eastAsia" w:ascii="宋体" w:hAnsi="宋体" w:cs="宋体"/>
          <w:sz w:val="24"/>
          <w:szCs w:val="24"/>
          <w:highlight w:val="none"/>
          <w:u w:val="single"/>
        </w:rPr>
        <w:t xml:space="preserve">                 </w:t>
      </w:r>
      <w:r>
        <w:rPr>
          <w:rFonts w:hint="eastAsia" w:ascii="宋体" w:hAnsi="宋体" w:cs="宋体"/>
          <w:sz w:val="24"/>
          <w:szCs w:val="24"/>
          <w:highlight w:val="none"/>
        </w:rPr>
        <w:t>元人民币）。</w:t>
      </w:r>
    </w:p>
    <w:p w14:paraId="71AAA96E">
      <w:pPr>
        <w:spacing w:line="360" w:lineRule="auto"/>
        <w:ind w:firstLine="480" w:firstLineChars="200"/>
        <w:rPr>
          <w:rFonts w:ascii="宋体" w:hAnsi="宋体" w:cs="宋体"/>
          <w:sz w:val="24"/>
          <w:szCs w:val="24"/>
          <w:highlight w:val="none"/>
          <w:u w:val="single"/>
        </w:rPr>
      </w:pPr>
      <w:r>
        <w:rPr>
          <w:rFonts w:hint="eastAsia" w:ascii="宋体" w:hAnsi="宋体" w:cs="宋体"/>
          <w:sz w:val="24"/>
          <w:szCs w:val="24"/>
          <w:highlight w:val="none"/>
        </w:rPr>
        <w:t>分项价格：</w:t>
      </w:r>
    </w:p>
    <w:tbl>
      <w:tblPr>
        <w:tblStyle w:val="3"/>
        <w:tblW w:w="71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1"/>
        <w:gridCol w:w="3402"/>
        <w:gridCol w:w="2552"/>
      </w:tblGrid>
      <w:tr w14:paraId="1C9B5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2F454B49">
            <w:pPr>
              <w:pStyle w:val="6"/>
              <w:spacing w:line="360" w:lineRule="auto"/>
              <w:jc w:val="center"/>
              <w:rPr>
                <w:rFonts w:hAnsi="宋体" w:cs="宋体"/>
                <w:sz w:val="24"/>
                <w:szCs w:val="24"/>
                <w:highlight w:val="none"/>
              </w:rPr>
            </w:pPr>
            <w:r>
              <w:rPr>
                <w:rFonts w:hint="eastAsia" w:hAnsi="宋体" w:cs="宋体"/>
                <w:sz w:val="24"/>
                <w:szCs w:val="24"/>
                <w:highlight w:val="none"/>
              </w:rPr>
              <w:t>序号</w:t>
            </w:r>
          </w:p>
        </w:tc>
        <w:tc>
          <w:tcPr>
            <w:tcW w:w="3402" w:type="dxa"/>
            <w:vAlign w:val="center"/>
          </w:tcPr>
          <w:p w14:paraId="3FB1BBD0">
            <w:pPr>
              <w:pStyle w:val="6"/>
              <w:spacing w:line="360" w:lineRule="auto"/>
              <w:ind w:firstLine="200"/>
              <w:jc w:val="center"/>
              <w:rPr>
                <w:rFonts w:hAnsi="宋体" w:cs="宋体"/>
                <w:sz w:val="24"/>
                <w:szCs w:val="24"/>
                <w:highlight w:val="none"/>
              </w:rPr>
            </w:pPr>
            <w:r>
              <w:rPr>
                <w:rFonts w:hint="eastAsia" w:hAnsi="宋体" w:cs="宋体"/>
                <w:sz w:val="24"/>
                <w:szCs w:val="24"/>
                <w:highlight w:val="none"/>
              </w:rPr>
              <w:t>分项名称</w:t>
            </w:r>
          </w:p>
        </w:tc>
        <w:tc>
          <w:tcPr>
            <w:tcW w:w="2552" w:type="dxa"/>
            <w:vAlign w:val="center"/>
          </w:tcPr>
          <w:p w14:paraId="28FFE4D2">
            <w:pPr>
              <w:pStyle w:val="6"/>
              <w:spacing w:line="360" w:lineRule="auto"/>
              <w:jc w:val="center"/>
              <w:rPr>
                <w:rFonts w:hAnsi="宋体" w:cs="宋体"/>
                <w:sz w:val="24"/>
                <w:szCs w:val="24"/>
                <w:highlight w:val="none"/>
              </w:rPr>
            </w:pPr>
            <w:r>
              <w:rPr>
                <w:rFonts w:hint="eastAsia" w:hAnsi="宋体" w:cs="宋体"/>
                <w:sz w:val="24"/>
                <w:szCs w:val="24"/>
                <w:highlight w:val="none"/>
              </w:rPr>
              <w:t>分项价格</w:t>
            </w:r>
          </w:p>
        </w:tc>
      </w:tr>
      <w:tr w14:paraId="22EBA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2A385F82">
            <w:pPr>
              <w:pStyle w:val="6"/>
              <w:spacing w:line="360" w:lineRule="auto"/>
              <w:ind w:firstLine="200"/>
              <w:jc w:val="center"/>
              <w:rPr>
                <w:rFonts w:hAnsi="宋体" w:cs="宋体"/>
                <w:sz w:val="24"/>
                <w:szCs w:val="24"/>
                <w:highlight w:val="none"/>
              </w:rPr>
            </w:pPr>
          </w:p>
        </w:tc>
        <w:tc>
          <w:tcPr>
            <w:tcW w:w="3402" w:type="dxa"/>
            <w:vAlign w:val="center"/>
          </w:tcPr>
          <w:p w14:paraId="625DB23C">
            <w:pPr>
              <w:pStyle w:val="6"/>
              <w:spacing w:line="360" w:lineRule="auto"/>
              <w:ind w:firstLine="200"/>
              <w:jc w:val="center"/>
              <w:rPr>
                <w:rFonts w:hAnsi="宋体" w:cs="宋体"/>
                <w:sz w:val="24"/>
                <w:szCs w:val="24"/>
                <w:highlight w:val="none"/>
              </w:rPr>
            </w:pPr>
          </w:p>
        </w:tc>
        <w:tc>
          <w:tcPr>
            <w:tcW w:w="2552" w:type="dxa"/>
            <w:vAlign w:val="center"/>
          </w:tcPr>
          <w:p w14:paraId="2BAF96CE">
            <w:pPr>
              <w:pStyle w:val="6"/>
              <w:spacing w:line="360" w:lineRule="auto"/>
              <w:ind w:firstLine="200"/>
              <w:jc w:val="center"/>
              <w:rPr>
                <w:rFonts w:hAnsi="宋体" w:cs="宋体"/>
                <w:sz w:val="24"/>
                <w:szCs w:val="24"/>
                <w:highlight w:val="none"/>
              </w:rPr>
            </w:pPr>
          </w:p>
        </w:tc>
      </w:tr>
      <w:tr w14:paraId="3398E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26AB4652">
            <w:pPr>
              <w:pStyle w:val="6"/>
              <w:spacing w:line="360" w:lineRule="auto"/>
              <w:ind w:firstLine="200"/>
              <w:jc w:val="center"/>
              <w:rPr>
                <w:rFonts w:hAnsi="宋体" w:cs="宋体"/>
                <w:sz w:val="24"/>
                <w:szCs w:val="24"/>
                <w:highlight w:val="none"/>
              </w:rPr>
            </w:pPr>
          </w:p>
        </w:tc>
        <w:tc>
          <w:tcPr>
            <w:tcW w:w="3402" w:type="dxa"/>
            <w:vAlign w:val="center"/>
          </w:tcPr>
          <w:p w14:paraId="218239C0">
            <w:pPr>
              <w:pStyle w:val="6"/>
              <w:spacing w:line="360" w:lineRule="auto"/>
              <w:ind w:firstLine="200"/>
              <w:jc w:val="center"/>
              <w:rPr>
                <w:rFonts w:hAnsi="宋体" w:cs="宋体"/>
                <w:sz w:val="24"/>
                <w:szCs w:val="24"/>
                <w:highlight w:val="none"/>
              </w:rPr>
            </w:pPr>
          </w:p>
        </w:tc>
        <w:tc>
          <w:tcPr>
            <w:tcW w:w="2552" w:type="dxa"/>
            <w:vAlign w:val="center"/>
          </w:tcPr>
          <w:p w14:paraId="7882C03D">
            <w:pPr>
              <w:pStyle w:val="6"/>
              <w:spacing w:line="360" w:lineRule="auto"/>
              <w:ind w:firstLine="200"/>
              <w:jc w:val="center"/>
              <w:rPr>
                <w:rFonts w:hAnsi="宋体" w:cs="宋体"/>
                <w:sz w:val="24"/>
                <w:szCs w:val="24"/>
                <w:highlight w:val="none"/>
              </w:rPr>
            </w:pPr>
          </w:p>
        </w:tc>
      </w:tr>
      <w:tr w14:paraId="47226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48EC3BED">
            <w:pPr>
              <w:pStyle w:val="6"/>
              <w:spacing w:line="360" w:lineRule="auto"/>
              <w:ind w:firstLine="200"/>
              <w:jc w:val="center"/>
              <w:rPr>
                <w:rFonts w:hAnsi="宋体" w:cs="宋体"/>
                <w:sz w:val="24"/>
                <w:szCs w:val="24"/>
                <w:highlight w:val="none"/>
              </w:rPr>
            </w:pPr>
          </w:p>
        </w:tc>
        <w:tc>
          <w:tcPr>
            <w:tcW w:w="3402" w:type="dxa"/>
            <w:vAlign w:val="center"/>
          </w:tcPr>
          <w:p w14:paraId="155D06B6">
            <w:pPr>
              <w:pStyle w:val="6"/>
              <w:spacing w:line="360" w:lineRule="auto"/>
              <w:ind w:firstLine="200"/>
              <w:jc w:val="center"/>
              <w:rPr>
                <w:rFonts w:hAnsi="宋体" w:cs="宋体"/>
                <w:sz w:val="24"/>
                <w:szCs w:val="24"/>
                <w:highlight w:val="none"/>
              </w:rPr>
            </w:pPr>
          </w:p>
        </w:tc>
        <w:tc>
          <w:tcPr>
            <w:tcW w:w="2552" w:type="dxa"/>
            <w:vAlign w:val="center"/>
          </w:tcPr>
          <w:p w14:paraId="16953BA5">
            <w:pPr>
              <w:pStyle w:val="6"/>
              <w:spacing w:line="360" w:lineRule="auto"/>
              <w:ind w:firstLine="200"/>
              <w:jc w:val="center"/>
              <w:rPr>
                <w:rFonts w:hAnsi="宋体" w:cs="宋体"/>
                <w:sz w:val="24"/>
                <w:szCs w:val="24"/>
                <w:highlight w:val="none"/>
              </w:rPr>
            </w:pPr>
          </w:p>
        </w:tc>
      </w:tr>
      <w:tr w14:paraId="080AA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14:paraId="3CCCFB9E">
            <w:pPr>
              <w:pStyle w:val="6"/>
              <w:spacing w:line="360" w:lineRule="auto"/>
              <w:ind w:firstLine="200"/>
              <w:jc w:val="center"/>
              <w:rPr>
                <w:rFonts w:hAnsi="宋体" w:cs="宋体"/>
                <w:sz w:val="24"/>
                <w:szCs w:val="24"/>
                <w:highlight w:val="none"/>
              </w:rPr>
            </w:pPr>
          </w:p>
        </w:tc>
        <w:tc>
          <w:tcPr>
            <w:tcW w:w="3402" w:type="dxa"/>
            <w:vAlign w:val="center"/>
          </w:tcPr>
          <w:p w14:paraId="09EA2683">
            <w:pPr>
              <w:pStyle w:val="6"/>
              <w:spacing w:line="360" w:lineRule="auto"/>
              <w:ind w:firstLine="200"/>
              <w:jc w:val="center"/>
              <w:rPr>
                <w:rFonts w:hAnsi="宋体" w:cs="宋体"/>
                <w:sz w:val="24"/>
                <w:szCs w:val="24"/>
                <w:highlight w:val="none"/>
              </w:rPr>
            </w:pPr>
          </w:p>
        </w:tc>
        <w:tc>
          <w:tcPr>
            <w:tcW w:w="2552" w:type="dxa"/>
            <w:vAlign w:val="center"/>
          </w:tcPr>
          <w:p w14:paraId="5ED577B8">
            <w:pPr>
              <w:pStyle w:val="6"/>
              <w:spacing w:line="360" w:lineRule="auto"/>
              <w:ind w:firstLine="200"/>
              <w:jc w:val="center"/>
              <w:rPr>
                <w:rFonts w:hAnsi="宋体" w:cs="宋体"/>
                <w:sz w:val="24"/>
                <w:szCs w:val="24"/>
                <w:highlight w:val="none"/>
              </w:rPr>
            </w:pPr>
          </w:p>
        </w:tc>
      </w:tr>
      <w:tr w14:paraId="52169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4603" w:type="dxa"/>
            <w:gridSpan w:val="2"/>
            <w:vAlign w:val="center"/>
          </w:tcPr>
          <w:p w14:paraId="4BD8A40E">
            <w:pPr>
              <w:pStyle w:val="6"/>
              <w:spacing w:line="360" w:lineRule="auto"/>
              <w:ind w:firstLine="200"/>
              <w:jc w:val="center"/>
              <w:rPr>
                <w:rFonts w:hAnsi="宋体" w:cs="宋体"/>
                <w:sz w:val="24"/>
                <w:szCs w:val="24"/>
                <w:highlight w:val="none"/>
              </w:rPr>
            </w:pPr>
            <w:r>
              <w:rPr>
                <w:rFonts w:hint="eastAsia" w:hAnsi="宋体" w:cs="宋体"/>
                <w:sz w:val="24"/>
                <w:szCs w:val="24"/>
                <w:highlight w:val="none"/>
              </w:rPr>
              <w:t>总价</w:t>
            </w:r>
          </w:p>
        </w:tc>
        <w:tc>
          <w:tcPr>
            <w:tcW w:w="2552" w:type="dxa"/>
            <w:vAlign w:val="center"/>
          </w:tcPr>
          <w:p w14:paraId="4BDD7773">
            <w:pPr>
              <w:pStyle w:val="6"/>
              <w:spacing w:line="360" w:lineRule="auto"/>
              <w:ind w:firstLine="200"/>
              <w:jc w:val="center"/>
              <w:rPr>
                <w:rFonts w:hAnsi="宋体" w:cs="宋体"/>
                <w:sz w:val="24"/>
                <w:szCs w:val="24"/>
                <w:highlight w:val="none"/>
              </w:rPr>
            </w:pPr>
          </w:p>
        </w:tc>
      </w:tr>
    </w:tbl>
    <w:p w14:paraId="36A108B2">
      <w:pPr>
        <w:spacing w:line="360" w:lineRule="auto"/>
        <w:ind w:firstLine="482" w:firstLineChars="200"/>
        <w:rPr>
          <w:rFonts w:ascii="宋体" w:hAnsi="宋体" w:cs="宋体"/>
          <w:b/>
          <w:sz w:val="24"/>
          <w:szCs w:val="24"/>
          <w:highlight w:val="none"/>
        </w:rPr>
      </w:pPr>
      <w:bookmarkStart w:id="32" w:name="_Toc30158"/>
      <w:bookmarkStart w:id="33" w:name="_Toc13113"/>
      <w:bookmarkStart w:id="34" w:name="_Toc26916"/>
      <w:bookmarkStart w:id="35" w:name="_Toc30506"/>
      <w:bookmarkStart w:id="36" w:name="_Toc17639"/>
      <w:bookmarkStart w:id="37" w:name="_Toc14993"/>
      <w:bookmarkStart w:id="38" w:name="_Toc15617"/>
      <w:bookmarkStart w:id="39" w:name="_Toc3654"/>
      <w:r>
        <w:rPr>
          <w:rFonts w:hint="eastAsia" w:ascii="宋体" w:hAnsi="宋体" w:cs="宋体"/>
          <w:b/>
          <w:sz w:val="24"/>
          <w:szCs w:val="24"/>
          <w:highlight w:val="none"/>
        </w:rPr>
        <w:t>1.4付款方式和发票开具方式</w:t>
      </w:r>
      <w:bookmarkEnd w:id="32"/>
      <w:bookmarkEnd w:id="33"/>
      <w:bookmarkEnd w:id="34"/>
      <w:bookmarkEnd w:id="35"/>
      <w:bookmarkEnd w:id="36"/>
      <w:bookmarkEnd w:id="37"/>
      <w:bookmarkEnd w:id="38"/>
      <w:bookmarkEnd w:id="39"/>
    </w:p>
    <w:p w14:paraId="4A1B08A6">
      <w:pPr>
        <w:spacing w:line="360" w:lineRule="auto"/>
        <w:ind w:firstLine="480" w:firstLineChars="200"/>
        <w:rPr>
          <w:rFonts w:ascii="宋体" w:hAnsi="宋体" w:cs="宋体"/>
          <w:sz w:val="24"/>
          <w:highlight w:val="none"/>
        </w:rPr>
      </w:pPr>
      <w:bookmarkStart w:id="40" w:name="_Toc17784"/>
      <w:bookmarkStart w:id="41" w:name="_Toc8772"/>
      <w:bookmarkStart w:id="42" w:name="_Toc3625"/>
      <w:bookmarkStart w:id="43" w:name="_Toc31421"/>
      <w:bookmarkStart w:id="44" w:name="_Toc18630"/>
      <w:bookmarkStart w:id="45" w:name="_Toc19039"/>
      <w:bookmarkStart w:id="46" w:name="_Toc11108"/>
      <w:bookmarkStart w:id="47" w:name="_Toc4760"/>
    </w:p>
    <w:p w14:paraId="67DBE0BB">
      <w:pPr>
        <w:spacing w:line="360" w:lineRule="auto"/>
        <w:ind w:firstLine="482" w:firstLineChars="200"/>
        <w:rPr>
          <w:rFonts w:ascii="宋体" w:hAnsi="宋体" w:cs="宋体"/>
          <w:b/>
          <w:sz w:val="24"/>
          <w:szCs w:val="24"/>
          <w:highlight w:val="none"/>
        </w:rPr>
      </w:pPr>
      <w:r>
        <w:rPr>
          <w:rFonts w:hint="eastAsia" w:ascii="宋体" w:hAnsi="宋体" w:cs="宋体"/>
          <w:b/>
          <w:sz w:val="24"/>
          <w:szCs w:val="24"/>
          <w:highlight w:val="none"/>
        </w:rPr>
        <w:t>1.5服务期限、地点和方式</w:t>
      </w:r>
      <w:bookmarkEnd w:id="40"/>
      <w:bookmarkEnd w:id="41"/>
      <w:bookmarkEnd w:id="42"/>
      <w:bookmarkEnd w:id="43"/>
      <w:bookmarkEnd w:id="44"/>
      <w:bookmarkEnd w:id="45"/>
      <w:bookmarkEnd w:id="46"/>
      <w:bookmarkEnd w:id="47"/>
    </w:p>
    <w:p w14:paraId="52A9A5F3">
      <w:pPr>
        <w:spacing w:line="360" w:lineRule="auto"/>
        <w:ind w:firstLine="480" w:firstLineChars="200"/>
        <w:rPr>
          <w:rFonts w:ascii="宋体" w:hAnsi="宋体" w:cs="宋体"/>
          <w:sz w:val="24"/>
          <w:szCs w:val="24"/>
          <w:highlight w:val="none"/>
          <w:u w:val="single"/>
        </w:rPr>
      </w:pPr>
      <w:r>
        <w:rPr>
          <w:rFonts w:hint="eastAsia" w:ascii="宋体" w:hAnsi="宋体" w:cs="宋体"/>
          <w:sz w:val="24"/>
          <w:szCs w:val="24"/>
          <w:highlight w:val="none"/>
        </w:rPr>
        <w:t>1.5.1服务期：</w:t>
      </w:r>
      <w:r>
        <w:rPr>
          <w:rFonts w:hint="eastAsia" w:ascii="宋体" w:hAnsi="宋体" w:cs="宋体"/>
          <w:sz w:val="24"/>
          <w:szCs w:val="24"/>
          <w:highlight w:val="none"/>
          <w:lang w:val="en-US" w:eastAsia="zh-CN"/>
        </w:rPr>
        <w:t xml:space="preserve">              </w:t>
      </w:r>
      <w:r>
        <w:rPr>
          <w:rFonts w:hint="eastAsia" w:ascii="宋体" w:hAnsi="宋体" w:cs="宋体"/>
          <w:sz w:val="24"/>
          <w:szCs w:val="24"/>
          <w:highlight w:val="none"/>
        </w:rPr>
        <w:t>；</w:t>
      </w:r>
    </w:p>
    <w:p w14:paraId="2CF56777">
      <w:pPr>
        <w:spacing w:line="360" w:lineRule="auto"/>
        <w:ind w:firstLine="480" w:firstLineChars="200"/>
        <w:rPr>
          <w:rFonts w:ascii="宋体" w:hAnsi="宋体" w:cs="宋体"/>
          <w:sz w:val="24"/>
          <w:szCs w:val="24"/>
          <w:highlight w:val="none"/>
          <w:u w:val="single"/>
        </w:rPr>
      </w:pPr>
      <w:r>
        <w:rPr>
          <w:rFonts w:hint="eastAsia" w:ascii="宋体" w:hAnsi="宋体" w:cs="宋体"/>
          <w:sz w:val="24"/>
          <w:szCs w:val="24"/>
          <w:highlight w:val="none"/>
        </w:rPr>
        <w:t>1.5.2服务地点：</w:t>
      </w:r>
      <w:r>
        <w:rPr>
          <w:rFonts w:hint="eastAsia" w:ascii="宋体" w:hAnsi="宋体" w:cs="宋体"/>
          <w:sz w:val="24"/>
          <w:szCs w:val="24"/>
          <w:highlight w:val="none"/>
          <w:u w:val="single"/>
        </w:rPr>
        <w:t>采购人指定地点</w:t>
      </w:r>
      <w:r>
        <w:rPr>
          <w:rFonts w:hint="eastAsia" w:ascii="宋体" w:hAnsi="宋体" w:cs="宋体"/>
          <w:sz w:val="24"/>
          <w:szCs w:val="24"/>
          <w:highlight w:val="none"/>
        </w:rPr>
        <w:t>。</w:t>
      </w:r>
    </w:p>
    <w:p w14:paraId="764A6EE8">
      <w:pPr>
        <w:spacing w:line="360" w:lineRule="auto"/>
        <w:ind w:firstLine="482" w:firstLineChars="200"/>
        <w:rPr>
          <w:rFonts w:ascii="宋体" w:hAnsi="宋体" w:cs="宋体"/>
          <w:sz w:val="24"/>
          <w:szCs w:val="24"/>
          <w:highlight w:val="none"/>
          <w:u w:val="single"/>
        </w:rPr>
      </w:pPr>
      <w:bookmarkStart w:id="48" w:name="_Toc18097"/>
      <w:bookmarkStart w:id="49" w:name="_Toc5698"/>
      <w:bookmarkStart w:id="50" w:name="_Toc8586"/>
      <w:bookmarkStart w:id="51" w:name="_Toc3079"/>
      <w:bookmarkStart w:id="52" w:name="_Toc15869"/>
      <w:bookmarkStart w:id="53" w:name="_Toc24662"/>
      <w:bookmarkStart w:id="54" w:name="_Toc3232"/>
      <w:bookmarkStart w:id="55" w:name="_Toc2375"/>
      <w:r>
        <w:rPr>
          <w:rFonts w:hint="eastAsia" w:ascii="宋体" w:hAnsi="宋体" w:cs="宋体"/>
          <w:b/>
          <w:sz w:val="24"/>
          <w:szCs w:val="24"/>
          <w:highlight w:val="none"/>
        </w:rPr>
        <w:t>1.6违约责任</w:t>
      </w:r>
      <w:bookmarkEnd w:id="48"/>
      <w:bookmarkEnd w:id="49"/>
      <w:bookmarkEnd w:id="50"/>
      <w:bookmarkEnd w:id="51"/>
      <w:bookmarkEnd w:id="52"/>
      <w:bookmarkEnd w:id="53"/>
      <w:bookmarkEnd w:id="54"/>
      <w:bookmarkEnd w:id="55"/>
    </w:p>
    <w:p w14:paraId="566E75B9">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1.6.1除不可抗力外，如果乙方没有按照本合同约定的期限、地点和方式履行，那么甲方可要求乙方支付违约金，违约金按每迟延履行一日的应提供而未提供服务价格的</w:t>
      </w:r>
      <w:r>
        <w:rPr>
          <w:rFonts w:hint="eastAsia" w:ascii="宋体" w:hAnsi="宋体" w:cs="宋体"/>
          <w:sz w:val="24"/>
          <w:szCs w:val="24"/>
          <w:highlight w:val="none"/>
          <w:u w:val="single"/>
        </w:rPr>
        <w:t>0.5</w:t>
      </w:r>
      <w:r>
        <w:rPr>
          <w:rFonts w:hint="eastAsia" w:ascii="宋体" w:hAnsi="宋体" w:cs="宋体"/>
          <w:sz w:val="24"/>
          <w:szCs w:val="24"/>
          <w:highlight w:val="none"/>
        </w:rPr>
        <w:t>%计算，最高限额为本合同总价的</w:t>
      </w:r>
      <w:r>
        <w:rPr>
          <w:rFonts w:hint="eastAsia" w:ascii="宋体" w:hAnsi="宋体" w:cs="宋体"/>
          <w:sz w:val="24"/>
          <w:szCs w:val="24"/>
          <w:highlight w:val="none"/>
          <w:u w:val="single"/>
        </w:rPr>
        <w:t>5</w:t>
      </w:r>
      <w:r>
        <w:rPr>
          <w:rFonts w:hint="eastAsia" w:ascii="宋体" w:hAnsi="宋体" w:cs="宋体"/>
          <w:sz w:val="24"/>
          <w:szCs w:val="24"/>
          <w:highlight w:val="none"/>
        </w:rPr>
        <w:t>%；迟延履行的违约金计算数额达到前述最高限额之日起，甲方有权在要求乙方支付违约金的同时，书面通知乙方解除本合同；</w:t>
      </w:r>
    </w:p>
    <w:p w14:paraId="38382995">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1.6.2除不可抗力外，如果甲方没有按照本合同约定的付款方式付款，那么乙方可要求甲方支付违约金，违约金按每迟延付款一日的应付而未付款的</w:t>
      </w:r>
      <w:r>
        <w:rPr>
          <w:rFonts w:hint="eastAsia" w:ascii="宋体" w:hAnsi="宋体" w:cs="宋体"/>
          <w:sz w:val="24"/>
          <w:szCs w:val="24"/>
          <w:highlight w:val="none"/>
          <w:u w:val="single"/>
        </w:rPr>
        <w:t>0.5</w:t>
      </w:r>
      <w:r>
        <w:rPr>
          <w:rFonts w:hint="eastAsia" w:ascii="宋体" w:hAnsi="宋体" w:cs="宋体"/>
          <w:sz w:val="24"/>
          <w:szCs w:val="24"/>
          <w:highlight w:val="none"/>
        </w:rPr>
        <w:t>%计算，最高限额为本合同总价的</w:t>
      </w:r>
      <w:r>
        <w:rPr>
          <w:rFonts w:hint="eastAsia" w:ascii="宋体" w:hAnsi="宋体" w:cs="宋体"/>
          <w:sz w:val="24"/>
          <w:szCs w:val="24"/>
          <w:highlight w:val="none"/>
          <w:u w:val="single"/>
        </w:rPr>
        <w:t>5</w:t>
      </w:r>
      <w:r>
        <w:rPr>
          <w:rFonts w:hint="eastAsia" w:ascii="宋体" w:hAnsi="宋体" w:cs="宋体"/>
          <w:sz w:val="24"/>
          <w:szCs w:val="24"/>
          <w:highlight w:val="none"/>
        </w:rPr>
        <w:t>%；迟延付款的违约金计算数额达到前述最高限额之日起，乙方有权在要求甲方支付违约金的同时，书面通知甲方解除本合同；</w:t>
      </w:r>
    </w:p>
    <w:p w14:paraId="4827585B">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1.6.3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来影响对方当事人在合同签订、履行过程中的行为）或者欺诈行为（即：以谎报事实或隐瞒真相的方法来影响对方当事人在合同签订、履行过程中的行为）的，对方当事人可以书面通知违约方解除本合同；</w:t>
      </w:r>
    </w:p>
    <w:p w14:paraId="1907D1E0">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1.6.4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14:paraId="24FC8564">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1.6.5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w:t>
      </w:r>
    </w:p>
    <w:p w14:paraId="5144EBDC">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1.6.6如果出现政府采购监督管理部门在处理投诉事项期间，书面通知甲方暂停采购活动的情形，或者询问或质疑事项可能影响成交结果的，导致甲方中止履行合同的情形，均不视为甲方违约。</w:t>
      </w:r>
    </w:p>
    <w:p w14:paraId="16720D8B">
      <w:pPr>
        <w:spacing w:line="360" w:lineRule="auto"/>
        <w:ind w:firstLine="482" w:firstLineChars="200"/>
        <w:rPr>
          <w:rFonts w:ascii="宋体" w:hAnsi="宋体" w:cs="宋体"/>
          <w:b/>
          <w:sz w:val="24"/>
          <w:szCs w:val="24"/>
          <w:highlight w:val="none"/>
        </w:rPr>
      </w:pPr>
      <w:bookmarkStart w:id="56" w:name="_Toc29170"/>
      <w:bookmarkStart w:id="57" w:name="_Toc14537"/>
      <w:bookmarkStart w:id="58" w:name="_Toc32454"/>
      <w:bookmarkStart w:id="59" w:name="_Toc9497"/>
      <w:bookmarkStart w:id="60" w:name="_Toc30329"/>
      <w:bookmarkStart w:id="61" w:name="_Toc26807"/>
      <w:bookmarkStart w:id="62" w:name="_Toc18683"/>
      <w:bookmarkStart w:id="63" w:name="_Toc14686"/>
      <w:r>
        <w:rPr>
          <w:rFonts w:hint="eastAsia" w:ascii="宋体" w:hAnsi="宋体" w:cs="宋体"/>
          <w:b/>
          <w:sz w:val="24"/>
          <w:szCs w:val="24"/>
          <w:highlight w:val="none"/>
        </w:rPr>
        <w:t>1.7合同争议的解决</w:t>
      </w:r>
      <w:bookmarkEnd w:id="56"/>
      <w:bookmarkEnd w:id="57"/>
      <w:bookmarkEnd w:id="58"/>
      <w:bookmarkEnd w:id="59"/>
      <w:bookmarkEnd w:id="60"/>
      <w:bookmarkEnd w:id="61"/>
      <w:bookmarkEnd w:id="62"/>
      <w:bookmarkEnd w:id="63"/>
    </w:p>
    <w:p w14:paraId="4D48E7B3">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本合同履行过程中发生的任何争议，双方当事人均可通过和解或者调解解决；不愿和解、调解或者和解、调解不成的，可以选择下列第</w:t>
      </w:r>
      <w:r>
        <w:rPr>
          <w:rFonts w:hint="eastAsia" w:ascii="宋体" w:hAnsi="宋体" w:cs="宋体"/>
          <w:sz w:val="24"/>
          <w:szCs w:val="24"/>
          <w:highlight w:val="none"/>
          <w:u w:val="single"/>
        </w:rPr>
        <w:t>1.7.2款</w:t>
      </w:r>
      <w:r>
        <w:rPr>
          <w:rFonts w:hint="eastAsia" w:ascii="宋体" w:hAnsi="宋体" w:cs="宋体"/>
          <w:sz w:val="24"/>
          <w:szCs w:val="24"/>
          <w:highlight w:val="none"/>
        </w:rPr>
        <w:t>方式解决：</w:t>
      </w:r>
    </w:p>
    <w:p w14:paraId="690CAD4F">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1.7.1将争议提交</w:t>
      </w:r>
      <w:r>
        <w:rPr>
          <w:rFonts w:hint="eastAsia" w:ascii="宋体" w:hAnsi="宋体" w:cs="宋体"/>
          <w:sz w:val="24"/>
          <w:szCs w:val="24"/>
          <w:highlight w:val="none"/>
          <w:u w:val="single"/>
        </w:rPr>
        <w:t xml:space="preserve">   合同签订地   </w:t>
      </w:r>
      <w:r>
        <w:rPr>
          <w:rFonts w:hint="eastAsia" w:ascii="宋体" w:hAnsi="宋体" w:cs="宋体"/>
          <w:sz w:val="24"/>
          <w:szCs w:val="24"/>
          <w:highlight w:val="none"/>
        </w:rPr>
        <w:t>仲裁委员会依申请仲裁时其现行有效的仲裁规则裁决；</w:t>
      </w:r>
    </w:p>
    <w:p w14:paraId="113A9E6E">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1.7.2向</w:t>
      </w:r>
      <w:r>
        <w:rPr>
          <w:rFonts w:hint="eastAsia" w:ascii="宋体" w:hAnsi="宋体" w:cs="宋体"/>
          <w:sz w:val="24"/>
          <w:szCs w:val="24"/>
          <w:highlight w:val="none"/>
          <w:u w:val="single"/>
        </w:rPr>
        <w:t xml:space="preserve">   合同签订地   </w:t>
      </w:r>
      <w:r>
        <w:rPr>
          <w:rFonts w:hint="eastAsia" w:ascii="宋体" w:hAnsi="宋体" w:cs="宋体"/>
          <w:sz w:val="24"/>
          <w:szCs w:val="24"/>
          <w:highlight w:val="none"/>
        </w:rPr>
        <w:t>人民法院起诉。</w:t>
      </w:r>
    </w:p>
    <w:p w14:paraId="5028AF2E">
      <w:pPr>
        <w:spacing w:line="360" w:lineRule="auto"/>
        <w:ind w:firstLine="482" w:firstLineChars="200"/>
        <w:rPr>
          <w:rFonts w:ascii="宋体" w:hAnsi="宋体" w:cs="宋体"/>
          <w:b/>
          <w:sz w:val="24"/>
          <w:szCs w:val="24"/>
          <w:highlight w:val="none"/>
        </w:rPr>
      </w:pPr>
      <w:bookmarkStart w:id="64" w:name="_Toc58"/>
      <w:bookmarkStart w:id="65" w:name="_Toc26227"/>
      <w:bookmarkStart w:id="66" w:name="_Toc12273"/>
      <w:bookmarkStart w:id="67" w:name="_Toc15827"/>
      <w:bookmarkStart w:id="68" w:name="_Toc16417"/>
      <w:bookmarkStart w:id="69" w:name="_Toc17829"/>
      <w:bookmarkStart w:id="70" w:name="_Toc15436"/>
      <w:bookmarkStart w:id="71" w:name="_Toc23784"/>
      <w:r>
        <w:rPr>
          <w:rFonts w:hint="eastAsia" w:ascii="宋体" w:hAnsi="宋体" w:cs="宋体"/>
          <w:b/>
          <w:sz w:val="24"/>
          <w:szCs w:val="24"/>
          <w:highlight w:val="none"/>
        </w:rPr>
        <w:t>1.8合同生效</w:t>
      </w:r>
      <w:bookmarkEnd w:id="64"/>
      <w:bookmarkEnd w:id="65"/>
      <w:bookmarkEnd w:id="66"/>
      <w:bookmarkEnd w:id="67"/>
      <w:bookmarkEnd w:id="68"/>
      <w:bookmarkEnd w:id="69"/>
      <w:bookmarkEnd w:id="70"/>
      <w:bookmarkEnd w:id="71"/>
    </w:p>
    <w:p w14:paraId="2F1C765D">
      <w:pPr>
        <w:spacing w:line="360" w:lineRule="auto"/>
        <w:ind w:firstLine="480" w:firstLineChars="200"/>
        <w:rPr>
          <w:rFonts w:ascii="宋体" w:hAnsi="宋体" w:cs="宋体"/>
          <w:b/>
          <w:sz w:val="24"/>
          <w:szCs w:val="24"/>
          <w:highlight w:val="none"/>
        </w:rPr>
      </w:pPr>
      <w:r>
        <w:rPr>
          <w:rFonts w:hint="eastAsia" w:ascii="宋体" w:hAnsi="宋体" w:cs="宋体"/>
          <w:sz w:val="24"/>
          <w:szCs w:val="24"/>
          <w:highlight w:val="none"/>
        </w:rPr>
        <w:t>本合同自双方当事人盖章或者签字时生效。</w:t>
      </w:r>
    </w:p>
    <w:p w14:paraId="7A29809E">
      <w:pPr>
        <w:spacing w:line="360" w:lineRule="auto"/>
        <w:ind w:firstLine="480" w:firstLineChars="200"/>
        <w:rPr>
          <w:rFonts w:ascii="宋体" w:hAnsi="宋体" w:cs="宋体"/>
          <w:sz w:val="24"/>
          <w:szCs w:val="24"/>
          <w:highlight w:val="none"/>
          <w:lang w:val="zh-CN"/>
        </w:rPr>
      </w:pPr>
    </w:p>
    <w:p w14:paraId="654D85B4">
      <w:pPr>
        <w:spacing w:line="360" w:lineRule="auto"/>
        <w:ind w:firstLine="482" w:firstLineChars="200"/>
        <w:rPr>
          <w:rFonts w:ascii="宋体" w:hAnsi="宋体" w:cs="宋体"/>
          <w:b/>
          <w:bCs/>
          <w:sz w:val="24"/>
          <w:szCs w:val="24"/>
          <w:highlight w:val="none"/>
          <w:lang w:val="zh-CN"/>
        </w:rPr>
      </w:pPr>
      <w:r>
        <w:rPr>
          <w:rFonts w:hint="eastAsia" w:ascii="宋体" w:hAnsi="宋体" w:cs="宋体"/>
          <w:b/>
          <w:bCs/>
          <w:sz w:val="24"/>
          <w:szCs w:val="24"/>
          <w:highlight w:val="none"/>
          <w:lang w:val="zh-CN"/>
        </w:rPr>
        <w:t>甲方：                                   乙方：</w:t>
      </w:r>
    </w:p>
    <w:p w14:paraId="1E69DBDF">
      <w:pPr>
        <w:spacing w:line="360" w:lineRule="auto"/>
        <w:ind w:firstLine="480" w:firstLineChars="200"/>
        <w:rPr>
          <w:rFonts w:ascii="宋体" w:hAnsi="宋体" w:cs="宋体"/>
          <w:sz w:val="24"/>
          <w:szCs w:val="24"/>
          <w:highlight w:val="none"/>
          <w:lang w:val="zh-CN"/>
        </w:rPr>
      </w:pPr>
      <w:r>
        <w:rPr>
          <w:rFonts w:hint="eastAsia" w:ascii="宋体" w:hAnsi="宋体" w:cs="宋体"/>
          <w:sz w:val="24"/>
          <w:szCs w:val="24"/>
          <w:highlight w:val="none"/>
          <w:lang w:val="zh-CN"/>
        </w:rPr>
        <w:t>统一社会信用代码：                       统一社会信用代码或身份证号码：</w:t>
      </w:r>
    </w:p>
    <w:p w14:paraId="3506667D">
      <w:pPr>
        <w:spacing w:line="360" w:lineRule="auto"/>
        <w:ind w:firstLine="480" w:firstLineChars="200"/>
        <w:rPr>
          <w:rFonts w:ascii="宋体" w:hAnsi="宋体" w:cs="宋体"/>
          <w:sz w:val="24"/>
          <w:szCs w:val="24"/>
          <w:highlight w:val="none"/>
          <w:lang w:val="zh-CN"/>
        </w:rPr>
      </w:pPr>
      <w:r>
        <w:rPr>
          <w:rFonts w:hint="eastAsia" w:ascii="宋体" w:hAnsi="宋体" w:cs="宋体"/>
          <w:sz w:val="24"/>
          <w:szCs w:val="24"/>
          <w:highlight w:val="none"/>
          <w:lang w:val="zh-CN"/>
        </w:rPr>
        <w:t>住所：                                   住所：</w:t>
      </w:r>
    </w:p>
    <w:p w14:paraId="72230229">
      <w:pPr>
        <w:spacing w:line="360" w:lineRule="auto"/>
        <w:ind w:firstLine="480" w:firstLineChars="200"/>
        <w:rPr>
          <w:rFonts w:ascii="宋体" w:hAnsi="宋体" w:cs="宋体"/>
          <w:sz w:val="24"/>
          <w:szCs w:val="24"/>
          <w:highlight w:val="none"/>
          <w:lang w:val="zh-CN"/>
        </w:rPr>
      </w:pPr>
      <w:r>
        <w:rPr>
          <w:rFonts w:hint="eastAsia" w:ascii="宋体" w:hAnsi="宋体" w:cs="宋体"/>
          <w:sz w:val="24"/>
          <w:szCs w:val="24"/>
          <w:highlight w:val="none"/>
          <w:lang w:val="zh-CN"/>
        </w:rPr>
        <w:t>法定代表人或                             法定代表人</w:t>
      </w:r>
    </w:p>
    <w:p w14:paraId="6764345D">
      <w:pPr>
        <w:spacing w:line="360" w:lineRule="auto"/>
        <w:ind w:firstLine="480" w:firstLineChars="200"/>
        <w:rPr>
          <w:rFonts w:ascii="宋体" w:hAnsi="宋体" w:cs="宋体"/>
          <w:sz w:val="24"/>
          <w:szCs w:val="24"/>
          <w:highlight w:val="none"/>
          <w:lang w:val="zh-CN"/>
        </w:rPr>
      </w:pPr>
      <w:r>
        <w:rPr>
          <w:rFonts w:hint="eastAsia" w:ascii="宋体" w:hAnsi="宋体" w:cs="宋体"/>
          <w:sz w:val="24"/>
          <w:szCs w:val="24"/>
          <w:highlight w:val="none"/>
          <w:lang w:val="zh-CN"/>
        </w:rPr>
        <w:t>授权代表（签字）：                       或授权代表（签字）:</w:t>
      </w:r>
    </w:p>
    <w:p w14:paraId="571DDDB0">
      <w:pPr>
        <w:spacing w:line="360" w:lineRule="auto"/>
        <w:ind w:firstLine="480" w:firstLineChars="200"/>
        <w:rPr>
          <w:rFonts w:ascii="宋体" w:hAnsi="宋体" w:cs="宋体"/>
          <w:sz w:val="24"/>
          <w:szCs w:val="24"/>
          <w:highlight w:val="none"/>
          <w:lang w:val="zh-CN"/>
        </w:rPr>
      </w:pPr>
      <w:r>
        <w:rPr>
          <w:rFonts w:hint="eastAsia" w:ascii="宋体" w:hAnsi="宋体" w:cs="宋体"/>
          <w:sz w:val="24"/>
          <w:szCs w:val="24"/>
          <w:highlight w:val="none"/>
          <w:lang w:val="zh-CN"/>
        </w:rPr>
        <w:t>联系人：                                 联系人：</w:t>
      </w:r>
    </w:p>
    <w:p w14:paraId="1521CCF0">
      <w:pPr>
        <w:spacing w:line="360" w:lineRule="auto"/>
        <w:ind w:firstLine="480" w:firstLineChars="200"/>
        <w:rPr>
          <w:rFonts w:ascii="宋体" w:hAnsi="宋体" w:cs="宋体"/>
          <w:sz w:val="24"/>
          <w:szCs w:val="24"/>
          <w:highlight w:val="none"/>
          <w:lang w:val="zh-CN"/>
        </w:rPr>
      </w:pPr>
      <w:r>
        <w:rPr>
          <w:rFonts w:hint="eastAsia" w:ascii="宋体" w:hAnsi="宋体" w:cs="宋体"/>
          <w:sz w:val="24"/>
          <w:szCs w:val="24"/>
          <w:highlight w:val="none"/>
          <w:lang w:val="zh-CN"/>
        </w:rPr>
        <w:t>约定送达地址：                           约定送达地址：</w:t>
      </w:r>
    </w:p>
    <w:p w14:paraId="39B223DF">
      <w:pPr>
        <w:spacing w:line="360" w:lineRule="auto"/>
        <w:ind w:firstLine="480" w:firstLineChars="200"/>
        <w:rPr>
          <w:rFonts w:ascii="宋体" w:hAnsi="宋体" w:cs="宋体"/>
          <w:sz w:val="24"/>
          <w:szCs w:val="24"/>
          <w:highlight w:val="none"/>
          <w:lang w:val="zh-CN"/>
        </w:rPr>
      </w:pPr>
      <w:r>
        <w:rPr>
          <w:rFonts w:hint="eastAsia" w:ascii="宋体" w:hAnsi="宋体" w:cs="宋体"/>
          <w:sz w:val="24"/>
          <w:szCs w:val="24"/>
          <w:highlight w:val="none"/>
          <w:lang w:val="zh-CN"/>
        </w:rPr>
        <w:t>邮政编码：                               邮政编码：</w:t>
      </w:r>
    </w:p>
    <w:p w14:paraId="5630C515">
      <w:pPr>
        <w:spacing w:line="360" w:lineRule="auto"/>
        <w:ind w:firstLine="480" w:firstLineChars="200"/>
        <w:rPr>
          <w:rFonts w:ascii="宋体" w:hAnsi="宋体" w:cs="宋体"/>
          <w:sz w:val="24"/>
          <w:szCs w:val="24"/>
          <w:highlight w:val="none"/>
          <w:lang w:val="zh-CN"/>
        </w:rPr>
      </w:pPr>
      <w:r>
        <w:rPr>
          <w:rFonts w:hint="eastAsia" w:ascii="宋体" w:hAnsi="宋体" w:cs="宋体"/>
          <w:sz w:val="24"/>
          <w:szCs w:val="24"/>
          <w:highlight w:val="none"/>
          <w:lang w:val="zh-CN"/>
        </w:rPr>
        <w:t>电话:                                    电话:</w:t>
      </w:r>
    </w:p>
    <w:p w14:paraId="2034A969">
      <w:pPr>
        <w:spacing w:line="360" w:lineRule="auto"/>
        <w:ind w:firstLine="480" w:firstLineChars="200"/>
        <w:rPr>
          <w:rFonts w:ascii="宋体" w:hAnsi="宋体" w:cs="宋体"/>
          <w:sz w:val="24"/>
          <w:szCs w:val="24"/>
          <w:highlight w:val="none"/>
          <w:lang w:val="zh-CN"/>
        </w:rPr>
      </w:pPr>
      <w:r>
        <w:rPr>
          <w:rFonts w:hint="eastAsia" w:ascii="宋体" w:hAnsi="宋体" w:cs="宋体"/>
          <w:sz w:val="24"/>
          <w:szCs w:val="24"/>
          <w:highlight w:val="none"/>
          <w:lang w:val="zh-CN"/>
        </w:rPr>
        <w:t>传真:                                    传真:</w:t>
      </w:r>
    </w:p>
    <w:p w14:paraId="671171EA">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lang w:val="zh-CN"/>
        </w:rPr>
        <w:t>电子邮箱：                               电子邮箱：</w:t>
      </w:r>
    </w:p>
    <w:p w14:paraId="6C03E901">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开户银行：                               开户银行：</w:t>
      </w:r>
    </w:p>
    <w:p w14:paraId="33B4E22E">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开户名称：                               开户名称：</w:t>
      </w:r>
    </w:p>
    <w:p w14:paraId="04D0810E">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开户账号：</w:t>
      </w:r>
      <w:r>
        <w:rPr>
          <w:rFonts w:hint="eastAsia" w:ascii="宋体" w:hAnsi="宋体" w:cs="宋体"/>
          <w:sz w:val="24"/>
          <w:szCs w:val="24"/>
          <w:highlight w:val="none"/>
          <w:lang w:val="zh-CN"/>
        </w:rPr>
        <w:t xml:space="preserve">                               </w:t>
      </w:r>
      <w:r>
        <w:rPr>
          <w:rFonts w:hint="eastAsia" w:ascii="宋体" w:hAnsi="宋体" w:cs="宋体"/>
          <w:sz w:val="24"/>
          <w:szCs w:val="24"/>
          <w:highlight w:val="none"/>
        </w:rPr>
        <w:t>开户账号：</w:t>
      </w:r>
    </w:p>
    <w:p w14:paraId="3CA2C948">
      <w:pPr>
        <w:spacing w:line="360" w:lineRule="auto"/>
        <w:jc w:val="center"/>
        <w:rPr>
          <w:rFonts w:ascii="黑体" w:hAnsi="黑体" w:eastAsia="黑体" w:cs="黑体"/>
          <w:sz w:val="32"/>
          <w:szCs w:val="32"/>
          <w:highlight w:val="none"/>
        </w:rPr>
      </w:pPr>
      <w:bookmarkStart w:id="72" w:name="_Toc3483"/>
      <w:bookmarkStart w:id="73" w:name="_Toc331685783"/>
      <w:r>
        <w:rPr>
          <w:rFonts w:hint="eastAsia" w:ascii="黑体" w:hAnsi="黑体" w:eastAsia="黑体" w:cs="黑体"/>
          <w:sz w:val="32"/>
          <w:szCs w:val="32"/>
          <w:highlight w:val="none"/>
        </w:rPr>
        <w:br w:type="page"/>
      </w:r>
      <w:bookmarkStart w:id="74" w:name="_Toc16795"/>
      <w:bookmarkStart w:id="75" w:name="_Toc11838"/>
      <w:r>
        <w:rPr>
          <w:rFonts w:hint="eastAsia" w:ascii="黑体" w:hAnsi="黑体" w:eastAsia="黑体" w:cs="黑体"/>
          <w:b/>
          <w:bCs/>
          <w:sz w:val="32"/>
          <w:szCs w:val="32"/>
          <w:highlight w:val="none"/>
        </w:rPr>
        <w:t>二、合同一般条款</w:t>
      </w:r>
      <w:bookmarkEnd w:id="72"/>
      <w:bookmarkEnd w:id="73"/>
      <w:bookmarkEnd w:id="74"/>
      <w:bookmarkEnd w:id="75"/>
    </w:p>
    <w:p w14:paraId="56DF2189">
      <w:pPr>
        <w:spacing w:line="360" w:lineRule="auto"/>
        <w:ind w:firstLine="482" w:firstLineChars="200"/>
        <w:rPr>
          <w:rFonts w:ascii="宋体" w:hAnsi="宋体" w:cs="宋体"/>
          <w:b/>
          <w:sz w:val="24"/>
          <w:szCs w:val="24"/>
          <w:highlight w:val="none"/>
        </w:rPr>
      </w:pPr>
      <w:bookmarkStart w:id="76" w:name="_Ref467379214"/>
      <w:bookmarkStart w:id="77" w:name="_Toc5228"/>
      <w:bookmarkStart w:id="78" w:name="_Ref467378404"/>
      <w:bookmarkStart w:id="79" w:name="_Toc31297"/>
      <w:bookmarkStart w:id="80" w:name="_Ref467379195"/>
      <w:bookmarkStart w:id="81" w:name="_Toc22731"/>
      <w:bookmarkStart w:id="82" w:name="_Ref467379101"/>
      <w:bookmarkStart w:id="83" w:name="_Toc19680"/>
      <w:bookmarkStart w:id="84" w:name="_Ref467378463"/>
      <w:bookmarkStart w:id="85" w:name="_Ref467379205"/>
      <w:bookmarkStart w:id="86" w:name="_Toc14021"/>
      <w:bookmarkStart w:id="87" w:name="_Toc279701240"/>
      <w:bookmarkStart w:id="88" w:name="_Toc26002"/>
      <w:bookmarkStart w:id="89" w:name="_Toc487900349"/>
      <w:bookmarkStart w:id="90" w:name="_Ref467378499"/>
      <w:bookmarkStart w:id="91" w:name="_Ref467379094"/>
      <w:bookmarkStart w:id="92" w:name="_Toc16972"/>
      <w:bookmarkStart w:id="93" w:name="_Toc259093669"/>
      <w:bookmarkStart w:id="94" w:name="_Ref467379225"/>
      <w:bookmarkStart w:id="95" w:name="_Toc25079"/>
      <w:bookmarkStart w:id="96" w:name="_Ref467379109"/>
      <w:r>
        <w:rPr>
          <w:rFonts w:hint="eastAsia" w:ascii="宋体" w:hAnsi="宋体" w:cs="宋体"/>
          <w:b/>
          <w:sz w:val="24"/>
          <w:szCs w:val="24"/>
          <w:highlight w:val="none"/>
        </w:rPr>
        <w:t>2.1定义</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550DAC43">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本合同中的下列词语应按以下内容进行解释：</w:t>
      </w:r>
    </w:p>
    <w:p w14:paraId="67715F63">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2.1.1“合同”系指采购人和成交供应商签订的载明双方当事人所达成的协议，并包括所有的附件、附录和构成合同的其他文件。</w:t>
      </w:r>
    </w:p>
    <w:p w14:paraId="43866B50">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2.1.2“合同价”系指根据合同约定，成交供应商在完全履行合同义务后，采购人应支付给成交供应商的价格。</w:t>
      </w:r>
    </w:p>
    <w:p w14:paraId="7070CDAD">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2.1.3“服务”系指成交供应商根据合同约定应向采购人履行的除货物和工程以外的其他政府采购对象，包括采购人自身需要的服务和向社会公众提供的公共服务。</w:t>
      </w:r>
    </w:p>
    <w:p w14:paraId="7694C96C">
      <w:pPr>
        <w:spacing w:line="360" w:lineRule="auto"/>
        <w:ind w:firstLine="480" w:firstLineChars="200"/>
        <w:rPr>
          <w:rFonts w:ascii="宋体" w:hAnsi="宋体" w:cs="宋体"/>
          <w:sz w:val="24"/>
          <w:szCs w:val="24"/>
          <w:highlight w:val="none"/>
        </w:rPr>
      </w:pPr>
      <w:bookmarkStart w:id="97" w:name="_Ref467378840"/>
      <w:r>
        <w:rPr>
          <w:rFonts w:hint="eastAsia" w:ascii="宋体" w:hAnsi="宋体" w:cs="宋体"/>
          <w:sz w:val="24"/>
          <w:szCs w:val="24"/>
          <w:highlight w:val="none"/>
        </w:rPr>
        <w:t>2.1.4“甲方”系指与成交供应商签署合同的采购人</w:t>
      </w:r>
      <w:bookmarkEnd w:id="97"/>
      <w:r>
        <w:rPr>
          <w:rFonts w:hint="eastAsia" w:ascii="宋体" w:hAnsi="宋体" w:cs="宋体"/>
          <w:sz w:val="24"/>
          <w:szCs w:val="24"/>
          <w:highlight w:val="none"/>
        </w:rPr>
        <w:t>；采购人委托采购代理机构代表其与乙方签订合同的，采购人的授权委托书作为合同附件。</w:t>
      </w:r>
    </w:p>
    <w:p w14:paraId="50029F82">
      <w:pPr>
        <w:spacing w:line="360" w:lineRule="auto"/>
        <w:ind w:firstLine="480" w:firstLineChars="200"/>
        <w:rPr>
          <w:rFonts w:ascii="宋体" w:hAnsi="宋体" w:cs="宋体"/>
          <w:sz w:val="24"/>
          <w:szCs w:val="24"/>
          <w:highlight w:val="none"/>
        </w:rPr>
      </w:pPr>
      <w:bookmarkStart w:id="98" w:name="_Ref467379400"/>
      <w:r>
        <w:rPr>
          <w:rFonts w:hint="eastAsia" w:ascii="宋体" w:hAnsi="宋体" w:cs="宋体"/>
          <w:sz w:val="24"/>
          <w:szCs w:val="24"/>
          <w:highlight w:val="none"/>
        </w:rPr>
        <w:t>2.1.5“乙方”系指根据合同约定提供服务的成交供应商</w:t>
      </w:r>
      <w:bookmarkEnd w:id="98"/>
      <w:r>
        <w:rPr>
          <w:rFonts w:hint="eastAsia" w:ascii="宋体" w:hAnsi="宋体" w:cs="宋体"/>
          <w:sz w:val="24"/>
          <w:szCs w:val="24"/>
          <w:highlight w:val="none"/>
        </w:rPr>
        <w:t>；两个以上的自然人、法人或者其他组织组成一个联合体，以一个供应商的身份共同参加政府采购的，联合体各方均应为乙方或者与乙方相同地位的合同当事人，并就合同约定的事项对甲方承担连带责任。</w:t>
      </w:r>
    </w:p>
    <w:p w14:paraId="4DE0E2EB">
      <w:pPr>
        <w:spacing w:line="360" w:lineRule="auto"/>
        <w:ind w:firstLine="480" w:firstLineChars="200"/>
        <w:rPr>
          <w:rFonts w:ascii="宋体" w:hAnsi="宋体" w:cs="宋体"/>
          <w:sz w:val="24"/>
          <w:szCs w:val="24"/>
          <w:highlight w:val="none"/>
        </w:rPr>
      </w:pPr>
      <w:bookmarkStart w:id="99" w:name="_Ref467379436"/>
      <w:r>
        <w:rPr>
          <w:rFonts w:hint="eastAsia" w:ascii="宋体" w:hAnsi="宋体" w:cs="宋体"/>
          <w:sz w:val="24"/>
          <w:szCs w:val="24"/>
          <w:highlight w:val="none"/>
        </w:rPr>
        <w:t>2.1.6“现场”系指合同约定提供服务的地点。</w:t>
      </w:r>
      <w:bookmarkEnd w:id="99"/>
    </w:p>
    <w:p w14:paraId="240F7697">
      <w:pPr>
        <w:spacing w:line="360" w:lineRule="auto"/>
        <w:ind w:firstLine="482" w:firstLineChars="200"/>
        <w:rPr>
          <w:rFonts w:ascii="宋体" w:hAnsi="宋体" w:cs="宋体"/>
          <w:b/>
          <w:sz w:val="24"/>
          <w:szCs w:val="24"/>
          <w:highlight w:val="none"/>
        </w:rPr>
      </w:pPr>
      <w:bookmarkStart w:id="100" w:name="_Toc16752"/>
      <w:bookmarkStart w:id="101" w:name="_Toc22410"/>
      <w:bookmarkStart w:id="102" w:name="_Toc279701241"/>
      <w:bookmarkStart w:id="103" w:name="_Toc31402"/>
      <w:bookmarkStart w:id="104" w:name="_Toc3769"/>
      <w:bookmarkStart w:id="105" w:name="_Toc487900350"/>
      <w:bookmarkStart w:id="106" w:name="_Toc3565"/>
      <w:bookmarkStart w:id="107" w:name="_Toc4531"/>
      <w:bookmarkStart w:id="108" w:name="_Toc259093670"/>
      <w:bookmarkStart w:id="109" w:name="_Toc19539"/>
      <w:bookmarkStart w:id="110" w:name="_Toc23289"/>
      <w:r>
        <w:rPr>
          <w:rFonts w:hint="eastAsia" w:ascii="宋体" w:hAnsi="宋体" w:cs="宋体"/>
          <w:b/>
          <w:sz w:val="24"/>
          <w:szCs w:val="24"/>
          <w:highlight w:val="none"/>
        </w:rPr>
        <w:t>2.2技术规范</w:t>
      </w:r>
      <w:bookmarkEnd w:id="100"/>
      <w:bookmarkEnd w:id="101"/>
      <w:bookmarkEnd w:id="102"/>
      <w:bookmarkEnd w:id="103"/>
      <w:bookmarkEnd w:id="104"/>
      <w:bookmarkEnd w:id="105"/>
      <w:bookmarkEnd w:id="106"/>
      <w:bookmarkEnd w:id="107"/>
      <w:bookmarkEnd w:id="108"/>
      <w:bookmarkEnd w:id="109"/>
      <w:bookmarkEnd w:id="110"/>
    </w:p>
    <w:p w14:paraId="693D2ADF">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服务所应遵守的技术规范应与采购文件规定的技术规范和技术规范附件(如果有的话)及其技术规范偏差表(如果被甲方接受的话)相一致；如果采购文件中没有技术规范的相应说明，那么应以国家有关部门最新颁布的相应标准和规范为准。</w:t>
      </w:r>
    </w:p>
    <w:p w14:paraId="4399A19F">
      <w:pPr>
        <w:spacing w:line="360" w:lineRule="auto"/>
        <w:ind w:firstLine="482" w:firstLineChars="200"/>
        <w:rPr>
          <w:rFonts w:ascii="宋体" w:hAnsi="宋体" w:cs="宋体"/>
          <w:b/>
          <w:sz w:val="24"/>
          <w:szCs w:val="24"/>
          <w:highlight w:val="none"/>
        </w:rPr>
      </w:pPr>
      <w:bookmarkStart w:id="111" w:name="_Toc31298"/>
      <w:bookmarkStart w:id="112" w:name="_Toc27945"/>
      <w:bookmarkStart w:id="113" w:name="_Toc13673"/>
      <w:bookmarkStart w:id="114" w:name="_Toc259093671"/>
      <w:bookmarkStart w:id="115" w:name="_Toc15220"/>
      <w:bookmarkStart w:id="116" w:name="_Toc9161"/>
      <w:bookmarkStart w:id="117" w:name="_Toc4133"/>
      <w:bookmarkStart w:id="118" w:name="_Toc12412"/>
      <w:bookmarkStart w:id="119" w:name="_Toc487900351"/>
      <w:bookmarkStart w:id="120" w:name="_Toc32669"/>
      <w:bookmarkStart w:id="121" w:name="_Toc279701242"/>
      <w:r>
        <w:rPr>
          <w:rFonts w:hint="eastAsia" w:ascii="宋体" w:hAnsi="宋体" w:cs="宋体"/>
          <w:b/>
          <w:sz w:val="24"/>
          <w:szCs w:val="24"/>
          <w:highlight w:val="none"/>
        </w:rPr>
        <w:t>2.3知识产权</w:t>
      </w:r>
      <w:bookmarkEnd w:id="111"/>
      <w:bookmarkEnd w:id="112"/>
      <w:bookmarkEnd w:id="113"/>
      <w:bookmarkEnd w:id="114"/>
      <w:bookmarkEnd w:id="115"/>
      <w:bookmarkEnd w:id="116"/>
      <w:bookmarkEnd w:id="117"/>
      <w:bookmarkEnd w:id="118"/>
      <w:bookmarkEnd w:id="119"/>
      <w:bookmarkEnd w:id="120"/>
      <w:bookmarkEnd w:id="121"/>
    </w:p>
    <w:p w14:paraId="1D4F8D2A">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2.3.1乙方应保证其提供的服务不受任何第三方提出的侵犯其著作权、商标权、专利权等知识产权方面的起诉；如果任何第三方提出侵权指控，那么乙方须与该第三方交涉并承担由此发生的一切责任、费用和赔偿。</w:t>
      </w:r>
    </w:p>
    <w:p w14:paraId="524D99C0">
      <w:pPr>
        <w:spacing w:line="360" w:lineRule="auto"/>
        <w:ind w:firstLine="482" w:firstLineChars="200"/>
        <w:rPr>
          <w:rFonts w:ascii="宋体" w:hAnsi="宋体" w:cs="宋体"/>
          <w:b/>
          <w:sz w:val="24"/>
          <w:szCs w:val="24"/>
          <w:highlight w:val="none"/>
        </w:rPr>
      </w:pPr>
      <w:r>
        <w:rPr>
          <w:rFonts w:hint="eastAsia" w:ascii="宋体" w:hAnsi="宋体" w:cs="宋体"/>
          <w:b/>
          <w:sz w:val="24"/>
          <w:szCs w:val="24"/>
          <w:highlight w:val="none"/>
        </w:rPr>
        <w:t>2.4履约检查和问题反馈</w:t>
      </w:r>
    </w:p>
    <w:p w14:paraId="0BDDCBC7">
      <w:pPr>
        <w:spacing w:line="360" w:lineRule="auto"/>
        <w:ind w:firstLine="480" w:firstLineChars="200"/>
        <w:rPr>
          <w:rFonts w:ascii="宋体" w:hAnsi="宋体" w:cs="宋体"/>
          <w:sz w:val="24"/>
          <w:szCs w:val="24"/>
          <w:highlight w:val="none"/>
        </w:rPr>
      </w:pPr>
      <w:bookmarkStart w:id="122" w:name="_Ref467379657"/>
      <w:r>
        <w:rPr>
          <w:rFonts w:hint="eastAsia" w:ascii="宋体" w:hAnsi="宋体" w:cs="宋体"/>
          <w:sz w:val="24"/>
          <w:szCs w:val="24"/>
          <w:highlight w:val="none"/>
        </w:rPr>
        <w:t>2.4.1</w:t>
      </w:r>
      <w:bookmarkEnd w:id="122"/>
      <w:bookmarkStart w:id="123" w:name="_Toc186431854"/>
      <w:bookmarkStart w:id="124" w:name="_Ref467379807"/>
      <w:bookmarkStart w:id="125" w:name="_Toc279701247"/>
      <w:bookmarkStart w:id="126" w:name="_Ref467379793"/>
      <w:bookmarkStart w:id="127" w:name="_Toc259093676"/>
      <w:bookmarkStart w:id="128" w:name="_Toc487900357"/>
      <w:r>
        <w:rPr>
          <w:rFonts w:hint="eastAsia" w:ascii="宋体" w:hAnsi="宋体" w:cs="宋体"/>
          <w:sz w:val="24"/>
          <w:szCs w:val="24"/>
          <w:highlight w:val="none"/>
        </w:rPr>
        <w:t>甲方有权在其认为必要时，对乙方是否能够按照合同约定提供服务进行履约检查，以确保乙方所提供的服务能够依约满足甲方之项目需求，但不得因履约检查妨碍乙方的正常工作，乙方应予积极配合；</w:t>
      </w:r>
    </w:p>
    <w:p w14:paraId="15448952">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2.4.2合同履行期间，甲方有权将履行过程中出现的问题反馈给乙方，双方当事人应以书面形式约定需要完善和改进的内容</w:t>
      </w:r>
      <w:bookmarkEnd w:id="123"/>
      <w:bookmarkStart w:id="129" w:name="_Toc186431855"/>
      <w:r>
        <w:rPr>
          <w:rFonts w:hint="eastAsia" w:ascii="宋体" w:hAnsi="宋体" w:cs="宋体"/>
          <w:sz w:val="24"/>
          <w:szCs w:val="24"/>
          <w:highlight w:val="none"/>
        </w:rPr>
        <w:t>。</w:t>
      </w:r>
    </w:p>
    <w:bookmarkEnd w:id="129"/>
    <w:p w14:paraId="5D46BDD2">
      <w:pPr>
        <w:spacing w:line="360" w:lineRule="auto"/>
        <w:ind w:firstLine="482" w:firstLineChars="200"/>
        <w:rPr>
          <w:rFonts w:ascii="宋体" w:hAnsi="宋体" w:cs="宋体"/>
          <w:b/>
          <w:sz w:val="24"/>
          <w:szCs w:val="24"/>
          <w:highlight w:val="none"/>
        </w:rPr>
      </w:pPr>
      <w:bookmarkStart w:id="130" w:name="_Toc22011"/>
      <w:bookmarkStart w:id="131" w:name="_Toc7472"/>
      <w:bookmarkStart w:id="132" w:name="_Toc15447"/>
      <w:bookmarkStart w:id="133" w:name="_Toc13247"/>
      <w:bookmarkStart w:id="134" w:name="_Toc32670"/>
      <w:bookmarkStart w:id="135" w:name="_Toc26555"/>
      <w:bookmarkStart w:id="136" w:name="_Toc31233"/>
      <w:bookmarkStart w:id="137" w:name="_Toc7860"/>
      <w:r>
        <w:rPr>
          <w:rFonts w:hint="eastAsia" w:ascii="宋体" w:hAnsi="宋体" w:cs="宋体"/>
          <w:b/>
          <w:sz w:val="24"/>
          <w:szCs w:val="24"/>
          <w:highlight w:val="none"/>
        </w:rPr>
        <w:t>2.5结算方式和付款条件</w:t>
      </w:r>
      <w:bookmarkEnd w:id="124"/>
      <w:bookmarkEnd w:id="125"/>
      <w:bookmarkEnd w:id="126"/>
      <w:bookmarkEnd w:id="127"/>
      <w:bookmarkEnd w:id="128"/>
      <w:bookmarkEnd w:id="130"/>
      <w:bookmarkEnd w:id="131"/>
      <w:bookmarkEnd w:id="132"/>
      <w:bookmarkEnd w:id="133"/>
      <w:bookmarkEnd w:id="134"/>
      <w:bookmarkEnd w:id="135"/>
      <w:bookmarkEnd w:id="136"/>
      <w:bookmarkEnd w:id="137"/>
    </w:p>
    <w:p w14:paraId="4EF3E5FA">
      <w:pPr>
        <w:spacing w:line="360" w:lineRule="auto"/>
        <w:ind w:firstLine="480" w:firstLineChars="200"/>
        <w:rPr>
          <w:rFonts w:ascii="宋体" w:hAnsi="宋体" w:cs="宋体"/>
          <w:sz w:val="24"/>
          <w:szCs w:val="24"/>
          <w:highlight w:val="none"/>
        </w:rPr>
      </w:pPr>
      <w:bookmarkStart w:id="138" w:name="_Ref467379923"/>
      <w:bookmarkStart w:id="139" w:name="_Toc279701248"/>
      <w:bookmarkStart w:id="140" w:name="_Ref467379852"/>
      <w:bookmarkStart w:id="141" w:name="_Toc487900358"/>
      <w:bookmarkStart w:id="142" w:name="_Toc259093677"/>
      <w:bookmarkStart w:id="143" w:name="_Ref467379863"/>
      <w:bookmarkStart w:id="144" w:name="_Toc13154"/>
      <w:bookmarkStart w:id="145" w:name="_Toc24255"/>
      <w:bookmarkStart w:id="146" w:name="_Toc13467"/>
      <w:bookmarkStart w:id="147" w:name="_Toc3886"/>
      <w:bookmarkStart w:id="148" w:name="_Toc9974"/>
      <w:bookmarkStart w:id="149" w:name="_Toc16163"/>
      <w:bookmarkStart w:id="150" w:name="_Toc18990"/>
      <w:bookmarkStart w:id="151" w:name="_Toc30507"/>
    </w:p>
    <w:p w14:paraId="28963574">
      <w:pPr>
        <w:spacing w:line="360" w:lineRule="auto"/>
        <w:ind w:firstLine="482" w:firstLineChars="200"/>
        <w:rPr>
          <w:rFonts w:ascii="宋体" w:hAnsi="宋体" w:cs="宋体"/>
          <w:b/>
          <w:sz w:val="24"/>
          <w:szCs w:val="24"/>
          <w:highlight w:val="none"/>
        </w:rPr>
      </w:pPr>
      <w:r>
        <w:rPr>
          <w:rFonts w:hint="eastAsia" w:ascii="宋体" w:hAnsi="宋体" w:cs="宋体"/>
          <w:b/>
          <w:sz w:val="24"/>
          <w:szCs w:val="24"/>
          <w:highlight w:val="none"/>
        </w:rPr>
        <w:t>2.6技术资料</w:t>
      </w:r>
      <w:bookmarkEnd w:id="138"/>
      <w:bookmarkEnd w:id="139"/>
      <w:bookmarkEnd w:id="140"/>
      <w:bookmarkEnd w:id="141"/>
      <w:bookmarkEnd w:id="142"/>
      <w:bookmarkEnd w:id="143"/>
      <w:r>
        <w:rPr>
          <w:rFonts w:hint="eastAsia" w:ascii="宋体" w:hAnsi="宋体" w:cs="宋体"/>
          <w:b/>
          <w:sz w:val="24"/>
          <w:szCs w:val="24"/>
          <w:highlight w:val="none"/>
        </w:rPr>
        <w:t>和保密义务</w:t>
      </w:r>
      <w:bookmarkEnd w:id="144"/>
      <w:bookmarkEnd w:id="145"/>
      <w:bookmarkEnd w:id="146"/>
      <w:bookmarkEnd w:id="147"/>
      <w:bookmarkEnd w:id="148"/>
      <w:bookmarkEnd w:id="149"/>
      <w:bookmarkEnd w:id="150"/>
      <w:bookmarkEnd w:id="151"/>
    </w:p>
    <w:p w14:paraId="31E1FACD">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2.6.1乙方有权依据合同约定和项目需要，向甲方了解有关情况，调阅有关资料等，甲方应予积极配合；</w:t>
      </w:r>
    </w:p>
    <w:p w14:paraId="5CE0CDA2">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2.6.2乙方有义务妥善保管和保护由甲方提供的前款信息和资料等；</w:t>
      </w:r>
    </w:p>
    <w:p w14:paraId="1F7BE1AF">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2.6.3除非依照法律规定或者对方当事人的书面同意，任何一方均应保证不向任何第三方提供或披露有关合同的或者履行合同过程中知悉的对方当事人任何未公开的信息和资料，包括但不限于技术情报、技术资料、商业秘密和商业信息等，并采取一切合理和必要措施和方式防止任何第三方接触到对方当事人的上述保密信息和资料。</w:t>
      </w:r>
    </w:p>
    <w:p w14:paraId="7896AA76">
      <w:pPr>
        <w:spacing w:line="360" w:lineRule="auto"/>
        <w:ind w:firstLine="482" w:firstLineChars="200"/>
        <w:rPr>
          <w:rFonts w:ascii="宋体" w:hAnsi="宋体" w:cs="宋体"/>
          <w:b/>
          <w:sz w:val="24"/>
          <w:szCs w:val="24"/>
          <w:highlight w:val="none"/>
        </w:rPr>
      </w:pPr>
      <w:bookmarkStart w:id="152" w:name="_Toc23788"/>
      <w:bookmarkStart w:id="153" w:name="_Toc19069"/>
      <w:bookmarkStart w:id="154" w:name="_Toc30781"/>
      <w:bookmarkStart w:id="155" w:name="_Toc31682"/>
      <w:bookmarkStart w:id="156" w:name="_Toc279701252"/>
      <w:bookmarkStart w:id="157" w:name="_Toc259093681"/>
      <w:bookmarkStart w:id="158" w:name="_Toc487900362"/>
      <w:r>
        <w:rPr>
          <w:rFonts w:hint="eastAsia" w:ascii="宋体" w:hAnsi="宋体" w:cs="宋体"/>
          <w:b/>
          <w:sz w:val="24"/>
          <w:szCs w:val="24"/>
          <w:highlight w:val="none"/>
        </w:rPr>
        <w:t>2.7质量保证</w:t>
      </w:r>
      <w:bookmarkEnd w:id="152"/>
      <w:bookmarkEnd w:id="153"/>
      <w:bookmarkEnd w:id="154"/>
      <w:bookmarkEnd w:id="155"/>
    </w:p>
    <w:p w14:paraId="07CBB38B">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2.7.1乙方应建立和完善履行合同的内部质量保证体系，并提供相关内部规章制度给甲方，以便甲方进行监督检查；</w:t>
      </w:r>
    </w:p>
    <w:p w14:paraId="58956DFB">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2.7.2乙方应保证履行合同的人员数量和素质、软件和硬件设备的配置、场地、环境和设施等满足全面履行合同的要求，并应接受甲方的监督检查。</w:t>
      </w:r>
    </w:p>
    <w:p w14:paraId="11052F20">
      <w:pPr>
        <w:spacing w:line="360" w:lineRule="auto"/>
        <w:ind w:firstLine="482" w:firstLineChars="200"/>
        <w:rPr>
          <w:rFonts w:ascii="宋体" w:hAnsi="宋体" w:cs="宋体"/>
          <w:b/>
          <w:sz w:val="24"/>
          <w:szCs w:val="24"/>
          <w:highlight w:val="none"/>
        </w:rPr>
      </w:pPr>
      <w:bookmarkStart w:id="159" w:name="_Toc4333"/>
      <w:bookmarkStart w:id="160" w:name="_Toc22267"/>
      <w:bookmarkStart w:id="161" w:name="_Toc6644"/>
      <w:bookmarkStart w:id="162" w:name="_Toc13743"/>
      <w:r>
        <w:rPr>
          <w:rFonts w:hint="eastAsia" w:ascii="宋体" w:hAnsi="宋体" w:cs="宋体"/>
          <w:b/>
          <w:sz w:val="24"/>
          <w:szCs w:val="24"/>
          <w:highlight w:val="none"/>
        </w:rPr>
        <w:t>2.8延迟</w:t>
      </w:r>
      <w:bookmarkEnd w:id="156"/>
      <w:bookmarkEnd w:id="157"/>
      <w:bookmarkEnd w:id="158"/>
      <w:r>
        <w:rPr>
          <w:rFonts w:hint="eastAsia" w:ascii="宋体" w:hAnsi="宋体" w:cs="宋体"/>
          <w:b/>
          <w:sz w:val="24"/>
          <w:szCs w:val="24"/>
          <w:highlight w:val="none"/>
        </w:rPr>
        <w:t>履行</w:t>
      </w:r>
      <w:bookmarkEnd w:id="159"/>
      <w:bookmarkEnd w:id="160"/>
      <w:bookmarkEnd w:id="161"/>
      <w:bookmarkEnd w:id="162"/>
    </w:p>
    <w:p w14:paraId="390F53A2">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在合同履行过程中，如果乙方遇到不能按时提供服务的情况，应及时以书面形式将不能按时提供服务的理由、预期延误时间通知甲方；甲方收到乙方通知后，认为其理由正当的，可以书面形式酌情同意乙方可以延长履行的具体时间。</w:t>
      </w:r>
    </w:p>
    <w:p w14:paraId="0EF1D542">
      <w:pPr>
        <w:spacing w:line="360" w:lineRule="auto"/>
        <w:ind w:firstLine="482" w:firstLineChars="200"/>
        <w:rPr>
          <w:rFonts w:ascii="宋体" w:hAnsi="宋体" w:cs="宋体"/>
          <w:b/>
          <w:sz w:val="24"/>
          <w:szCs w:val="24"/>
          <w:highlight w:val="none"/>
        </w:rPr>
      </w:pPr>
      <w:bookmarkStart w:id="163" w:name="_Toc9519"/>
      <w:bookmarkStart w:id="164" w:name="_Toc7134"/>
      <w:bookmarkStart w:id="165" w:name="_Toc4141"/>
      <w:bookmarkStart w:id="166" w:name="_Toc10611"/>
      <w:bookmarkStart w:id="167" w:name="_Toc279701254"/>
      <w:bookmarkStart w:id="168" w:name="_Ref467378121"/>
      <w:bookmarkStart w:id="169" w:name="_Toc487900364"/>
      <w:bookmarkStart w:id="170" w:name="_Toc259093683"/>
      <w:r>
        <w:rPr>
          <w:rFonts w:hint="eastAsia" w:ascii="宋体" w:hAnsi="宋体" w:cs="宋体"/>
          <w:b/>
          <w:sz w:val="24"/>
          <w:szCs w:val="24"/>
          <w:highlight w:val="none"/>
        </w:rPr>
        <w:t>2.9合同变更</w:t>
      </w:r>
      <w:bookmarkEnd w:id="163"/>
      <w:bookmarkEnd w:id="164"/>
      <w:bookmarkEnd w:id="165"/>
      <w:bookmarkEnd w:id="166"/>
    </w:p>
    <w:p w14:paraId="788C2E4C">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2.9.1双方当事人协商一致，可以签订书面补充合同的形式变更合同，但不得违背采购文件确定的事项，且如果系追加与合同标的相同的服务的，那么所有补充合同的采购金额不得超过原合同价的10%；</w:t>
      </w:r>
    </w:p>
    <w:p w14:paraId="36812799">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2.9.2合同继续履行将损害国家利益和社会公共利益的，双方当事人应当以书面形式变更合同。有过错的一方应当承担赔偿责任，双方当事人都有过错的，各自承担相应的责任。</w:t>
      </w:r>
      <w:bookmarkStart w:id="171" w:name="_Toc487900369"/>
      <w:bookmarkStart w:id="172" w:name="_Toc259093688"/>
      <w:bookmarkStart w:id="173" w:name="_Toc279701259"/>
    </w:p>
    <w:p w14:paraId="3C8E3AF7">
      <w:pPr>
        <w:spacing w:line="360" w:lineRule="auto"/>
        <w:ind w:firstLine="482" w:firstLineChars="200"/>
        <w:rPr>
          <w:rFonts w:ascii="宋体" w:hAnsi="宋体" w:cs="宋体"/>
          <w:b/>
          <w:sz w:val="24"/>
          <w:szCs w:val="24"/>
          <w:highlight w:val="none"/>
        </w:rPr>
      </w:pPr>
      <w:bookmarkStart w:id="174" w:name="_Toc23368"/>
      <w:bookmarkStart w:id="175" w:name="_Toc27031"/>
      <w:bookmarkStart w:id="176" w:name="_Toc13465"/>
      <w:bookmarkStart w:id="177" w:name="_Toc21830"/>
      <w:bookmarkStart w:id="178" w:name="_Toc10663"/>
      <w:bookmarkStart w:id="179" w:name="_Toc458"/>
      <w:bookmarkStart w:id="180" w:name="_Toc26689"/>
      <w:bookmarkStart w:id="181" w:name="_Toc42"/>
      <w:r>
        <w:rPr>
          <w:rFonts w:hint="eastAsia" w:ascii="宋体" w:hAnsi="宋体" w:cs="宋体"/>
          <w:b/>
          <w:sz w:val="24"/>
          <w:szCs w:val="24"/>
          <w:highlight w:val="none"/>
        </w:rPr>
        <w:t>2.10合同转让</w:t>
      </w:r>
      <w:bookmarkEnd w:id="171"/>
      <w:bookmarkEnd w:id="172"/>
      <w:bookmarkEnd w:id="173"/>
      <w:r>
        <w:rPr>
          <w:rFonts w:hint="eastAsia" w:ascii="宋体" w:hAnsi="宋体" w:cs="宋体"/>
          <w:b/>
          <w:sz w:val="24"/>
          <w:szCs w:val="24"/>
          <w:highlight w:val="none"/>
        </w:rPr>
        <w:t>和分包</w:t>
      </w:r>
      <w:bookmarkEnd w:id="174"/>
      <w:bookmarkEnd w:id="175"/>
      <w:bookmarkEnd w:id="176"/>
      <w:bookmarkEnd w:id="177"/>
      <w:bookmarkEnd w:id="178"/>
      <w:bookmarkEnd w:id="179"/>
      <w:bookmarkEnd w:id="180"/>
      <w:bookmarkEnd w:id="181"/>
    </w:p>
    <w:p w14:paraId="0FE3E418">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合同的权利义务依法不得转让，但经甲方同意，乙方可以依法采取分包方式履行合同，即：依法可以将合同项下的部分非主体、非关键性工作分包给他人完成，接受分包的人应当具备相应的资格条件，并不得再次分包，且乙方应就分包项目向甲方负责，并与分包供应商就分包项目向甲方承担连带责任。</w:t>
      </w:r>
    </w:p>
    <w:p w14:paraId="2C7CA077">
      <w:pPr>
        <w:spacing w:line="360" w:lineRule="auto"/>
        <w:ind w:firstLine="482" w:firstLineChars="200"/>
        <w:rPr>
          <w:rFonts w:ascii="宋体" w:hAnsi="宋体" w:cs="宋体"/>
          <w:b/>
          <w:sz w:val="24"/>
          <w:szCs w:val="24"/>
          <w:highlight w:val="none"/>
        </w:rPr>
      </w:pPr>
      <w:bookmarkStart w:id="182" w:name="_Toc26633"/>
      <w:bookmarkStart w:id="183" w:name="_Toc14371"/>
      <w:bookmarkStart w:id="184" w:name="_Toc32389"/>
      <w:bookmarkStart w:id="185" w:name="_Toc4720"/>
      <w:bookmarkStart w:id="186" w:name="_Toc13058"/>
      <w:bookmarkStart w:id="187" w:name="_Toc24901"/>
      <w:bookmarkStart w:id="188" w:name="_Toc25571"/>
      <w:bookmarkStart w:id="189" w:name="_Toc32494"/>
      <w:r>
        <w:rPr>
          <w:rFonts w:hint="eastAsia" w:ascii="宋体" w:hAnsi="宋体" w:cs="宋体"/>
          <w:b/>
          <w:sz w:val="24"/>
          <w:szCs w:val="24"/>
          <w:highlight w:val="none"/>
        </w:rPr>
        <w:t>2.11不可抗力</w:t>
      </w:r>
      <w:bookmarkEnd w:id="182"/>
      <w:bookmarkEnd w:id="183"/>
      <w:bookmarkEnd w:id="184"/>
      <w:bookmarkEnd w:id="185"/>
      <w:bookmarkEnd w:id="186"/>
      <w:bookmarkEnd w:id="187"/>
      <w:bookmarkEnd w:id="188"/>
      <w:bookmarkEnd w:id="189"/>
    </w:p>
    <w:p w14:paraId="4B2A0C83">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2.11.1如果任何一方遭遇法律规定的不可抗力，致使合同履行受阻时，履行合同的期限应予延长，延长的期限应相当于不可抗力所影响的时间；</w:t>
      </w:r>
    </w:p>
    <w:p w14:paraId="6F1DB090">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2.11.2因不可抗力致使不能实现合同目的的，当事人可以解除合同；</w:t>
      </w:r>
    </w:p>
    <w:p w14:paraId="4690F815">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2.11.3因不可抗力致使合同有变更必要的，双方当事人应在</w:t>
      </w:r>
      <w:r>
        <w:rPr>
          <w:rFonts w:hint="eastAsia" w:ascii="宋体" w:hAnsi="宋体" w:cs="宋体"/>
          <w:b/>
          <w:sz w:val="24"/>
          <w:szCs w:val="24"/>
          <w:highlight w:val="none"/>
          <w:u w:val="single"/>
        </w:rPr>
        <w:t>10个工作日</w:t>
      </w:r>
      <w:r>
        <w:rPr>
          <w:rFonts w:hint="eastAsia" w:ascii="宋体" w:hAnsi="宋体" w:cs="宋体"/>
          <w:sz w:val="24"/>
          <w:szCs w:val="24"/>
          <w:highlight w:val="none"/>
        </w:rPr>
        <w:t>内以书面形式变更合同；</w:t>
      </w:r>
    </w:p>
    <w:p w14:paraId="442AD088">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2.11.4受不可抗力影响的一方在不可抗力发生后，应在</w:t>
      </w:r>
      <w:r>
        <w:rPr>
          <w:rFonts w:hint="eastAsia" w:ascii="宋体" w:hAnsi="宋体" w:cs="宋体"/>
          <w:b/>
          <w:sz w:val="24"/>
          <w:szCs w:val="24"/>
          <w:highlight w:val="none"/>
          <w:u w:val="single"/>
        </w:rPr>
        <w:t>10个工作日</w:t>
      </w:r>
      <w:r>
        <w:rPr>
          <w:rFonts w:hint="eastAsia" w:ascii="宋体" w:hAnsi="宋体" w:cs="宋体"/>
          <w:sz w:val="24"/>
          <w:szCs w:val="24"/>
          <w:highlight w:val="none"/>
        </w:rPr>
        <w:t>内以书面形式通知对方当事人，并在</w:t>
      </w:r>
      <w:r>
        <w:rPr>
          <w:rFonts w:hint="eastAsia" w:ascii="宋体" w:hAnsi="宋体" w:cs="宋体"/>
          <w:b/>
          <w:sz w:val="24"/>
          <w:szCs w:val="24"/>
          <w:highlight w:val="none"/>
          <w:u w:val="single"/>
        </w:rPr>
        <w:t>10个工作日</w:t>
      </w:r>
      <w:r>
        <w:rPr>
          <w:rFonts w:hint="eastAsia" w:ascii="宋体" w:hAnsi="宋体" w:cs="宋体"/>
          <w:sz w:val="24"/>
          <w:szCs w:val="24"/>
          <w:highlight w:val="none"/>
        </w:rPr>
        <w:t>内，将有关部门出具的证明文件送达对方当事人。</w:t>
      </w:r>
    </w:p>
    <w:p w14:paraId="7A6007EC">
      <w:pPr>
        <w:spacing w:line="360" w:lineRule="auto"/>
        <w:ind w:firstLine="482" w:firstLineChars="200"/>
        <w:rPr>
          <w:rFonts w:ascii="宋体" w:hAnsi="宋体" w:cs="宋体"/>
          <w:b/>
          <w:sz w:val="24"/>
          <w:szCs w:val="24"/>
          <w:highlight w:val="none"/>
        </w:rPr>
      </w:pPr>
      <w:bookmarkStart w:id="190" w:name="_Toc24465"/>
      <w:bookmarkStart w:id="191" w:name="_Toc487900365"/>
      <w:bookmarkStart w:id="192" w:name="_Toc279701255"/>
      <w:bookmarkStart w:id="193" w:name="_Toc259093684"/>
      <w:bookmarkStart w:id="194" w:name="_Toc24226"/>
      <w:bookmarkStart w:id="195" w:name="_Toc14115"/>
      <w:bookmarkStart w:id="196" w:name="_Toc25783"/>
      <w:bookmarkStart w:id="197" w:name="_Toc23854"/>
      <w:bookmarkStart w:id="198" w:name="_Toc7854"/>
      <w:bookmarkStart w:id="199" w:name="_Toc3638"/>
      <w:bookmarkStart w:id="200" w:name="_Toc7143"/>
      <w:r>
        <w:rPr>
          <w:rFonts w:hint="eastAsia" w:ascii="宋体" w:hAnsi="宋体" w:cs="宋体"/>
          <w:b/>
          <w:sz w:val="24"/>
          <w:szCs w:val="24"/>
          <w:highlight w:val="none"/>
        </w:rPr>
        <w:t>2.12税费</w:t>
      </w:r>
      <w:bookmarkEnd w:id="190"/>
      <w:bookmarkEnd w:id="191"/>
      <w:bookmarkEnd w:id="192"/>
      <w:bookmarkEnd w:id="193"/>
      <w:bookmarkEnd w:id="194"/>
      <w:bookmarkEnd w:id="195"/>
      <w:bookmarkEnd w:id="196"/>
      <w:bookmarkEnd w:id="197"/>
      <w:bookmarkEnd w:id="198"/>
      <w:bookmarkEnd w:id="199"/>
      <w:bookmarkEnd w:id="200"/>
    </w:p>
    <w:p w14:paraId="3EA0BC1A">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与合同有关的一切税费，均按照中华人民共和国法律的相关规定缴纳。</w:t>
      </w:r>
    </w:p>
    <w:p w14:paraId="01A02670">
      <w:pPr>
        <w:spacing w:line="360" w:lineRule="auto"/>
        <w:ind w:firstLine="482" w:firstLineChars="200"/>
        <w:rPr>
          <w:rFonts w:ascii="宋体" w:hAnsi="宋体" w:cs="宋体"/>
          <w:b/>
          <w:sz w:val="24"/>
          <w:szCs w:val="24"/>
          <w:highlight w:val="none"/>
        </w:rPr>
      </w:pPr>
      <w:bookmarkStart w:id="201" w:name="_Toc7315"/>
      <w:bookmarkStart w:id="202" w:name="_Toc12334"/>
      <w:bookmarkStart w:id="203" w:name="_Toc14814"/>
      <w:bookmarkStart w:id="204" w:name="_Toc487900368"/>
      <w:bookmarkStart w:id="205" w:name="_Toc30105"/>
      <w:bookmarkStart w:id="206" w:name="_Toc25525"/>
      <w:bookmarkStart w:id="207" w:name="_Toc9444"/>
      <w:bookmarkStart w:id="208" w:name="_Toc279701258"/>
      <w:bookmarkStart w:id="209" w:name="_Toc24592"/>
      <w:bookmarkStart w:id="210" w:name="_Toc26883"/>
      <w:bookmarkStart w:id="211" w:name="_Toc259093687"/>
      <w:r>
        <w:rPr>
          <w:rFonts w:hint="eastAsia" w:ascii="宋体" w:hAnsi="宋体" w:cs="宋体"/>
          <w:b/>
          <w:sz w:val="24"/>
          <w:szCs w:val="24"/>
          <w:highlight w:val="none"/>
        </w:rPr>
        <w:t>2.13乙方破产</w:t>
      </w:r>
      <w:bookmarkEnd w:id="201"/>
      <w:bookmarkEnd w:id="202"/>
      <w:bookmarkEnd w:id="203"/>
      <w:bookmarkEnd w:id="204"/>
      <w:bookmarkEnd w:id="205"/>
      <w:bookmarkEnd w:id="206"/>
      <w:bookmarkEnd w:id="207"/>
      <w:bookmarkEnd w:id="208"/>
      <w:bookmarkEnd w:id="209"/>
      <w:bookmarkEnd w:id="210"/>
      <w:bookmarkEnd w:id="211"/>
    </w:p>
    <w:p w14:paraId="74AEEE81">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如果乙方破产导致合同无法履行时，甲方可以书面形式通知乙方终止合同且不给予乙方任何补偿和赔偿，但合同的终止不损害或不影响甲方已经采取或将要采取的任何要求乙方支付违约金、赔偿损失等的行动或补救措施的权利。</w:t>
      </w:r>
    </w:p>
    <w:p w14:paraId="5B39471D">
      <w:pPr>
        <w:spacing w:line="360" w:lineRule="auto"/>
        <w:ind w:firstLine="482" w:firstLineChars="200"/>
        <w:rPr>
          <w:rFonts w:ascii="宋体" w:hAnsi="宋体" w:cs="宋体"/>
          <w:b/>
          <w:sz w:val="24"/>
          <w:szCs w:val="24"/>
          <w:highlight w:val="none"/>
        </w:rPr>
      </w:pPr>
      <w:bookmarkStart w:id="212" w:name="_Toc27457"/>
      <w:bookmarkStart w:id="213" w:name="_Toc31935"/>
      <w:bookmarkStart w:id="214" w:name="_Toc1123"/>
      <w:bookmarkStart w:id="215" w:name="_Toc18535"/>
      <w:bookmarkStart w:id="216" w:name="_Toc23323"/>
      <w:bookmarkStart w:id="217" w:name="_Toc2016"/>
      <w:r>
        <w:rPr>
          <w:rFonts w:hint="eastAsia" w:ascii="宋体" w:hAnsi="宋体" w:cs="宋体"/>
          <w:b/>
          <w:sz w:val="24"/>
          <w:szCs w:val="24"/>
          <w:highlight w:val="none"/>
        </w:rPr>
        <w:t>2.14合同中止、终止</w:t>
      </w:r>
      <w:bookmarkEnd w:id="212"/>
      <w:bookmarkEnd w:id="213"/>
      <w:bookmarkEnd w:id="214"/>
      <w:bookmarkEnd w:id="215"/>
      <w:bookmarkEnd w:id="216"/>
      <w:bookmarkEnd w:id="217"/>
    </w:p>
    <w:p w14:paraId="4C2817B7">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2.14.1双方当事人不得擅自中止或者终止合同；</w:t>
      </w:r>
    </w:p>
    <w:p w14:paraId="335781D9">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2.14.2合同继续履行将损害国家利益和社会公共利益的，双方当事人应当中止或者终止合同。有过错的一方应当承担赔偿责任，双方当事人都有过错的，各自承担相应的责任。</w:t>
      </w:r>
    </w:p>
    <w:p w14:paraId="56DFCE54">
      <w:pPr>
        <w:spacing w:line="360" w:lineRule="auto"/>
        <w:ind w:firstLine="482" w:firstLineChars="200"/>
        <w:rPr>
          <w:rFonts w:ascii="宋体" w:hAnsi="宋体" w:cs="宋体"/>
          <w:b/>
          <w:sz w:val="24"/>
          <w:szCs w:val="24"/>
          <w:highlight w:val="none"/>
        </w:rPr>
      </w:pPr>
      <w:bookmarkStart w:id="218" w:name="_Toc32237"/>
      <w:bookmarkStart w:id="219" w:name="_Toc14525"/>
      <w:bookmarkStart w:id="220" w:name="_Toc9000"/>
      <w:bookmarkStart w:id="221" w:name="_Toc17363"/>
      <w:bookmarkStart w:id="222" w:name="_Toc1969"/>
      <w:bookmarkStart w:id="223" w:name="_Toc23234"/>
      <w:r>
        <w:rPr>
          <w:rFonts w:hint="eastAsia" w:ascii="宋体" w:hAnsi="宋体" w:cs="宋体"/>
          <w:b/>
          <w:sz w:val="24"/>
          <w:szCs w:val="24"/>
          <w:highlight w:val="none"/>
        </w:rPr>
        <w:t>2.15检验和验收</w:t>
      </w:r>
      <w:bookmarkEnd w:id="218"/>
      <w:bookmarkEnd w:id="219"/>
      <w:bookmarkEnd w:id="220"/>
      <w:bookmarkEnd w:id="221"/>
      <w:bookmarkEnd w:id="222"/>
      <w:bookmarkEnd w:id="223"/>
    </w:p>
    <w:p w14:paraId="6A6CD953">
      <w:pPr>
        <w:tabs>
          <w:tab w:val="left" w:pos="360"/>
          <w:tab w:val="left" w:pos="540"/>
          <w:tab w:val="left" w:pos="1080"/>
        </w:tabs>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2.15.1乙方按照磋商文件</w:t>
      </w:r>
      <w:r>
        <w:rPr>
          <w:rFonts w:hint="eastAsia" w:ascii="宋体" w:hAnsi="宋体" w:eastAsia="宋体" w:cs="宋体"/>
          <w:b/>
          <w:sz w:val="24"/>
          <w:szCs w:val="24"/>
          <w:highlight w:val="none"/>
          <w:u w:val="single"/>
        </w:rPr>
        <w:t>用户需求书</w:t>
      </w:r>
      <w:r>
        <w:rPr>
          <w:rFonts w:hint="eastAsia" w:ascii="宋体" w:hAnsi="宋体" w:cs="宋体"/>
          <w:sz w:val="24"/>
          <w:szCs w:val="24"/>
          <w:highlight w:val="none"/>
        </w:rPr>
        <w:t>的约定，定期提交服务报告，甲方按照磋商文件</w:t>
      </w:r>
      <w:r>
        <w:rPr>
          <w:rFonts w:hint="eastAsia" w:ascii="宋体" w:hAnsi="宋体" w:eastAsia="宋体" w:cs="宋体"/>
          <w:b/>
          <w:sz w:val="24"/>
          <w:szCs w:val="24"/>
          <w:highlight w:val="none"/>
          <w:u w:val="single"/>
        </w:rPr>
        <w:t>用户需求书</w:t>
      </w:r>
      <w:r>
        <w:rPr>
          <w:rFonts w:hint="eastAsia" w:ascii="宋体" w:hAnsi="宋体" w:cs="宋体"/>
          <w:sz w:val="24"/>
          <w:szCs w:val="24"/>
          <w:highlight w:val="none"/>
        </w:rPr>
        <w:t>的约定进行定期验收；</w:t>
      </w:r>
    </w:p>
    <w:p w14:paraId="0F236A0C">
      <w:pPr>
        <w:tabs>
          <w:tab w:val="left" w:pos="360"/>
          <w:tab w:val="left" w:pos="540"/>
          <w:tab w:val="left" w:pos="1080"/>
        </w:tabs>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2.15.2合同期满或者履行完毕后，甲方有权组织（包括依法邀请国家认可的质量检测机构参加）对乙方履约的验收，即：按照合同约定的标准，组织对乙方履约情况的验收，并出具验收书；向社会公众提供的公共服务项目，验收时应当邀请服务对象参与并出具意见，验收结果应当向社会公告；</w:t>
      </w:r>
    </w:p>
    <w:p w14:paraId="4805046E">
      <w:pPr>
        <w:tabs>
          <w:tab w:val="left" w:pos="360"/>
          <w:tab w:val="left" w:pos="540"/>
          <w:tab w:val="left" w:pos="1080"/>
        </w:tabs>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2.15.3检验和验收标准、程序等具体内容以及前述验收书的效力详见</w:t>
      </w:r>
      <w:r>
        <w:rPr>
          <w:rFonts w:hint="eastAsia" w:ascii="宋体" w:hAnsi="宋体" w:eastAsia="宋体" w:cs="宋体"/>
          <w:b/>
          <w:sz w:val="24"/>
          <w:szCs w:val="24"/>
          <w:highlight w:val="none"/>
          <w:u w:val="single"/>
        </w:rPr>
        <w:t>磋商文件用户需求书。</w:t>
      </w:r>
    </w:p>
    <w:bookmarkEnd w:id="167"/>
    <w:bookmarkEnd w:id="168"/>
    <w:bookmarkEnd w:id="169"/>
    <w:bookmarkEnd w:id="170"/>
    <w:p w14:paraId="7BA6A7C1">
      <w:pPr>
        <w:spacing w:line="360" w:lineRule="auto"/>
        <w:ind w:firstLine="482" w:firstLineChars="200"/>
        <w:rPr>
          <w:rFonts w:ascii="宋体" w:hAnsi="宋体" w:cs="宋体"/>
          <w:b/>
          <w:sz w:val="24"/>
          <w:szCs w:val="24"/>
          <w:highlight w:val="none"/>
        </w:rPr>
      </w:pPr>
      <w:bookmarkStart w:id="224" w:name="_Toc259093690"/>
      <w:bookmarkStart w:id="225" w:name="_Toc279701261"/>
      <w:bookmarkStart w:id="226" w:name="_Toc487900371"/>
      <w:bookmarkStart w:id="227" w:name="_Toc31892"/>
      <w:bookmarkStart w:id="228" w:name="_Toc20675"/>
      <w:bookmarkStart w:id="229" w:name="_Toc25198"/>
      <w:bookmarkStart w:id="230" w:name="_Toc2308"/>
      <w:bookmarkStart w:id="231" w:name="_Toc9808"/>
      <w:bookmarkStart w:id="232" w:name="_Toc12666"/>
      <w:bookmarkStart w:id="233" w:name="_Toc7598"/>
      <w:bookmarkStart w:id="234" w:name="_Toc13424"/>
      <w:r>
        <w:rPr>
          <w:rFonts w:hint="eastAsia" w:ascii="宋体" w:hAnsi="宋体" w:cs="宋体"/>
          <w:b/>
          <w:sz w:val="24"/>
          <w:szCs w:val="24"/>
          <w:highlight w:val="none"/>
        </w:rPr>
        <w:t>2.16通知</w:t>
      </w:r>
      <w:bookmarkEnd w:id="224"/>
      <w:bookmarkEnd w:id="225"/>
      <w:bookmarkEnd w:id="226"/>
      <w:r>
        <w:rPr>
          <w:rFonts w:hint="eastAsia" w:ascii="宋体" w:hAnsi="宋体" w:cs="宋体"/>
          <w:b/>
          <w:sz w:val="24"/>
          <w:szCs w:val="24"/>
          <w:highlight w:val="none"/>
        </w:rPr>
        <w:t>和送达</w:t>
      </w:r>
      <w:bookmarkEnd w:id="227"/>
      <w:bookmarkEnd w:id="228"/>
      <w:bookmarkEnd w:id="229"/>
      <w:bookmarkEnd w:id="230"/>
      <w:bookmarkEnd w:id="231"/>
      <w:bookmarkEnd w:id="232"/>
      <w:bookmarkEnd w:id="233"/>
      <w:bookmarkEnd w:id="234"/>
    </w:p>
    <w:p w14:paraId="70A41B6B">
      <w:pPr>
        <w:spacing w:line="360" w:lineRule="auto"/>
        <w:ind w:firstLine="480" w:firstLineChars="200"/>
        <w:rPr>
          <w:rFonts w:ascii="宋体" w:hAnsi="宋体" w:cs="宋体"/>
          <w:sz w:val="24"/>
          <w:szCs w:val="24"/>
          <w:highlight w:val="none"/>
        </w:rPr>
      </w:pPr>
      <w:bookmarkStart w:id="235" w:name="_Toc29220"/>
      <w:bookmarkStart w:id="236" w:name="_Toc7073"/>
      <w:bookmarkStart w:id="237" w:name="_Toc279701262"/>
      <w:bookmarkStart w:id="238" w:name="_Toc259093691"/>
      <w:bookmarkStart w:id="239" w:name="_Toc487900372"/>
      <w:r>
        <w:rPr>
          <w:rFonts w:hint="eastAsia" w:ascii="宋体" w:hAnsi="宋体" w:cs="宋体"/>
          <w:sz w:val="24"/>
          <w:szCs w:val="24"/>
          <w:highlight w:val="none"/>
        </w:rPr>
        <w:t>2.16.1任何一方因履行合同而以合同第一部分尾部所列明的约定送达地址发出的所有通知、文件、材料，均视为已向对方当事人送达；任何一方变更上述送达方式或者地址的，应于</w:t>
      </w:r>
      <w:r>
        <w:rPr>
          <w:rFonts w:hint="eastAsia" w:ascii="宋体" w:hAnsi="宋体" w:cs="宋体"/>
          <w:sz w:val="24"/>
          <w:szCs w:val="24"/>
          <w:highlight w:val="none"/>
          <w:u w:val="single"/>
        </w:rPr>
        <w:t xml:space="preserve">   </w:t>
      </w:r>
      <w:r>
        <w:rPr>
          <w:rFonts w:hint="eastAsia" w:ascii="宋体" w:hAnsi="宋体" w:cs="宋体"/>
          <w:sz w:val="24"/>
          <w:szCs w:val="24"/>
          <w:highlight w:val="none"/>
        </w:rPr>
        <w:t>个工作日内书面通知对方当事人，在对方当事人收到有关变更通知之前，变更前的约定送达方式或者地址仍视为有效。</w:t>
      </w:r>
      <w:bookmarkEnd w:id="235"/>
      <w:bookmarkEnd w:id="236"/>
    </w:p>
    <w:p w14:paraId="29BBC988">
      <w:pPr>
        <w:spacing w:line="360" w:lineRule="auto"/>
        <w:ind w:firstLine="480" w:firstLineChars="200"/>
        <w:rPr>
          <w:rFonts w:ascii="宋体" w:hAnsi="宋体" w:cs="宋体"/>
          <w:sz w:val="24"/>
          <w:szCs w:val="24"/>
          <w:highlight w:val="none"/>
        </w:rPr>
      </w:pPr>
      <w:bookmarkStart w:id="240" w:name="_Toc27674"/>
      <w:bookmarkStart w:id="241" w:name="_Toc18401"/>
      <w:r>
        <w:rPr>
          <w:rFonts w:hint="eastAsia" w:ascii="宋体" w:hAnsi="宋体" w:cs="宋体"/>
          <w:sz w:val="24"/>
          <w:szCs w:val="24"/>
          <w:highlight w:val="none"/>
        </w:rPr>
        <w:t>2.16.2以当面交付方式送达的，交付之时视为送达；以电子邮件方式送达的，发出电子邮件之时视为送达；以传真方式送达的，发出传真之时视为送达；以邮寄方式送达的，邮件挂号寄出或者交邮之日之次日视为送达。</w:t>
      </w:r>
      <w:bookmarkEnd w:id="240"/>
      <w:bookmarkEnd w:id="241"/>
    </w:p>
    <w:bookmarkEnd w:id="237"/>
    <w:bookmarkEnd w:id="238"/>
    <w:bookmarkEnd w:id="239"/>
    <w:p w14:paraId="39D697FA">
      <w:pPr>
        <w:spacing w:line="360" w:lineRule="auto"/>
        <w:ind w:firstLine="482" w:firstLineChars="200"/>
        <w:rPr>
          <w:rFonts w:ascii="宋体" w:hAnsi="宋体" w:cs="宋体"/>
          <w:b/>
          <w:sz w:val="24"/>
          <w:szCs w:val="24"/>
          <w:highlight w:val="none"/>
        </w:rPr>
      </w:pPr>
      <w:bookmarkStart w:id="242" w:name="_Toc20808"/>
      <w:bookmarkStart w:id="243" w:name="_Toc25494"/>
      <w:bookmarkStart w:id="244" w:name="_Toc27644"/>
      <w:bookmarkStart w:id="245" w:name="_Toc30955"/>
      <w:bookmarkStart w:id="246" w:name="_Toc279701263"/>
      <w:bookmarkStart w:id="247" w:name="_Toc12254"/>
      <w:bookmarkStart w:id="248" w:name="_Toc15816"/>
      <w:bookmarkStart w:id="249" w:name="_Toc28906"/>
      <w:bookmarkStart w:id="250" w:name="_Toc487900373"/>
      <w:bookmarkStart w:id="251" w:name="_Toc259093692"/>
      <w:bookmarkStart w:id="252" w:name="_Toc5063"/>
      <w:r>
        <w:rPr>
          <w:rFonts w:hint="eastAsia" w:ascii="宋体" w:hAnsi="宋体" w:cs="宋体"/>
          <w:b/>
          <w:sz w:val="24"/>
          <w:szCs w:val="24"/>
          <w:highlight w:val="none"/>
        </w:rPr>
        <w:t>2.17合同使用的文字和适用的法律</w:t>
      </w:r>
      <w:bookmarkEnd w:id="242"/>
      <w:bookmarkEnd w:id="243"/>
      <w:bookmarkEnd w:id="244"/>
      <w:bookmarkEnd w:id="245"/>
      <w:bookmarkEnd w:id="246"/>
      <w:bookmarkEnd w:id="247"/>
      <w:bookmarkEnd w:id="248"/>
      <w:bookmarkEnd w:id="249"/>
      <w:bookmarkEnd w:id="250"/>
      <w:bookmarkEnd w:id="251"/>
      <w:bookmarkEnd w:id="252"/>
    </w:p>
    <w:p w14:paraId="0461CC08">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2.17.1合同使用汉语书就、变更和解释；</w:t>
      </w:r>
    </w:p>
    <w:p w14:paraId="6B3DB836">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2.17.2合同适用中华人民共和国法律。</w:t>
      </w:r>
    </w:p>
    <w:p w14:paraId="3DF1CDB8">
      <w:pPr>
        <w:spacing w:line="360" w:lineRule="auto"/>
        <w:ind w:firstLine="482" w:firstLineChars="200"/>
        <w:rPr>
          <w:rFonts w:ascii="宋体" w:hAnsi="宋体" w:cs="宋体"/>
          <w:b/>
          <w:sz w:val="24"/>
          <w:szCs w:val="24"/>
          <w:highlight w:val="none"/>
        </w:rPr>
      </w:pPr>
      <w:bookmarkStart w:id="253" w:name="_Toc30096"/>
      <w:bookmarkStart w:id="254" w:name="_Toc279701264"/>
      <w:bookmarkStart w:id="255" w:name="_Toc27403"/>
      <w:bookmarkStart w:id="256" w:name="_Toc22266"/>
      <w:bookmarkStart w:id="257" w:name="_Toc24121"/>
      <w:bookmarkStart w:id="258" w:name="_Toc5699"/>
      <w:bookmarkStart w:id="259" w:name="_Toc25512"/>
      <w:bookmarkStart w:id="260" w:name="_Toc27127"/>
      <w:bookmarkStart w:id="261" w:name="_Toc259093693"/>
      <w:bookmarkStart w:id="262" w:name="_Toc1492"/>
      <w:bookmarkStart w:id="263" w:name="_Toc487900374"/>
      <w:r>
        <w:rPr>
          <w:rFonts w:hint="eastAsia" w:ascii="宋体" w:hAnsi="宋体" w:cs="宋体"/>
          <w:b/>
          <w:sz w:val="24"/>
          <w:szCs w:val="24"/>
          <w:highlight w:val="none"/>
        </w:rPr>
        <w:t>2.18履约保证金</w:t>
      </w:r>
      <w:bookmarkEnd w:id="253"/>
      <w:bookmarkEnd w:id="254"/>
      <w:bookmarkEnd w:id="255"/>
      <w:bookmarkEnd w:id="256"/>
      <w:bookmarkEnd w:id="257"/>
      <w:bookmarkEnd w:id="258"/>
      <w:bookmarkEnd w:id="259"/>
      <w:bookmarkEnd w:id="260"/>
      <w:bookmarkEnd w:id="261"/>
      <w:bookmarkEnd w:id="262"/>
    </w:p>
    <w:p w14:paraId="5F63A9F3">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2.18.1本项目不提交履约保证金。</w:t>
      </w:r>
    </w:p>
    <w:bookmarkEnd w:id="263"/>
    <w:p w14:paraId="66F78B48">
      <w:pPr>
        <w:spacing w:line="360" w:lineRule="auto"/>
        <w:ind w:firstLine="482" w:firstLineChars="200"/>
        <w:rPr>
          <w:rFonts w:ascii="宋体" w:hAnsi="宋体" w:cs="宋体"/>
          <w:b/>
          <w:sz w:val="24"/>
          <w:szCs w:val="24"/>
          <w:highlight w:val="none"/>
        </w:rPr>
      </w:pPr>
      <w:r>
        <w:rPr>
          <w:rFonts w:hint="eastAsia" w:ascii="宋体" w:hAnsi="宋体" w:cs="宋体"/>
          <w:b/>
          <w:sz w:val="24"/>
          <w:szCs w:val="24"/>
          <w:highlight w:val="none"/>
        </w:rPr>
        <w:t>2.19合同份数</w:t>
      </w:r>
    </w:p>
    <w:p w14:paraId="0E8AD9AC">
      <w:pPr>
        <w:spacing w:line="360" w:lineRule="auto"/>
        <w:ind w:firstLine="480"/>
        <w:rPr>
          <w:rFonts w:ascii="宋体" w:hAnsi="宋体" w:cs="宋体"/>
          <w:sz w:val="24"/>
          <w:szCs w:val="24"/>
          <w:highlight w:val="none"/>
        </w:rPr>
      </w:pPr>
      <w:r>
        <w:rPr>
          <w:rFonts w:hint="eastAsia" w:ascii="宋体" w:hAnsi="宋体" w:cs="宋体"/>
          <w:sz w:val="24"/>
          <w:szCs w:val="24"/>
          <w:highlight w:val="none"/>
        </w:rPr>
        <w:t>合同份数按</w:t>
      </w:r>
      <w:r>
        <w:rPr>
          <w:rFonts w:hint="eastAsia" w:ascii="宋体" w:hAnsi="宋体" w:cs="宋体"/>
          <w:b/>
          <w:bCs/>
          <w:sz w:val="24"/>
          <w:szCs w:val="24"/>
          <w:highlight w:val="none"/>
        </w:rPr>
        <w:t>合同专用条款</w:t>
      </w:r>
      <w:r>
        <w:rPr>
          <w:rFonts w:hint="eastAsia" w:ascii="宋体" w:hAnsi="宋体" w:cs="宋体"/>
          <w:sz w:val="24"/>
          <w:szCs w:val="24"/>
          <w:highlight w:val="none"/>
        </w:rPr>
        <w:t>规定，每份均具有同等法律效力。</w:t>
      </w:r>
    </w:p>
    <w:p w14:paraId="5677B000">
      <w:bookmarkStart w:id="264" w:name="_GoBack"/>
      <w:bookmarkEnd w:id="26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
    <w:altName w:val="Times New Roman"/>
    <w:panose1 w:val="00000000000000000000"/>
    <w:charset w:val="00"/>
    <w:family w:val="auto"/>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631DB5"/>
    <w:rsid w:val="38631D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Calibri"/>
      <w:kern w:val="2"/>
      <w:sz w:val="21"/>
      <w:szCs w:val="21"/>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99"/>
    <w:rPr>
      <w:rFonts w:ascii="Calibri" w:hAnsi="Calibri" w:cs="Times New Roman"/>
      <w:kern w:val="0"/>
    </w:rPr>
  </w:style>
  <w:style w:type="character" w:customStyle="1" w:styleId="5">
    <w:name w:val="标题 1 Char"/>
    <w:qFormat/>
    <w:locked/>
    <w:uiPriority w:val="99"/>
    <w:rPr>
      <w:rFonts w:ascii="Calibri" w:hAnsi="Calibri" w:cs="Calibri"/>
      <w:b/>
      <w:bCs/>
      <w:kern w:val="44"/>
      <w:sz w:val="44"/>
      <w:szCs w:val="44"/>
    </w:rPr>
  </w:style>
  <w:style w:type="paragraph" w:customStyle="1" w:styleId="6">
    <w:name w:val="纯文本1"/>
    <w:basedOn w:val="1"/>
    <w:qFormat/>
    <w:uiPriority w:val="0"/>
    <w:rPr>
      <w:rFonts w:ascii="宋体" w:hAnsi="Courier New" w:cs="Times New Roman"/>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1</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2026-04-24T10:52:00Z</dcterms:created>
  <dc:creator>饣耳</dc:creator>
  <cp:lastModifiedBy>饣耳</cp:lastModifiedBy>
  <dcterms:modified xsi:type="dcterms:W3CDTF">2026-04-24T10:53:45Z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7353435E56A7444688CAADC37FB642BD_11</vt:lpwstr>
  </property>
  <property fmtid="{D5CDD505-2E9C-101B-9397-08002B2CF9AE}" pid="4" name="KSOTemplateDocerSaveRecord">
    <vt:lpwstr>eyJoZGlkIjoiYWMyZGEzMDVkZmYyMmUwMDAyY2MyMWRkMDIzODQ1YjEiLCJ1c2VySWQiOiI2MTQ1NzE3NTUifQ==</vt:lpwstr>
  </property>
</Properties>
</file>