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版本号：ZFFZ-2026-12520260427001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陕西省成本调查监审工作平台信创适配迁移项目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ZFFZ-2026-125</w:t>
      </w:r>
      <w:r>
        <w:br/>
      </w:r>
      <w:r>
        <w:br/>
      </w:r>
      <w:r>
        <w:br/>
      </w:r>
    </w:p>
    <w:p>
      <w:pPr>
        <w:pStyle w:val="null3"/>
        <w:jc w:val="center"/>
        <w:outlineLvl w:val="2"/>
      </w:pPr>
      <w:r>
        <w:rPr>
          <w:rFonts w:ascii="仿宋_GB2312" w:hAnsi="仿宋_GB2312" w:cs="仿宋_GB2312" w:eastAsia="仿宋_GB2312"/>
          <w:sz w:val="28"/>
          <w:b/>
        </w:rPr>
        <w:t>陕西省成本调查监审局</w:t>
      </w:r>
    </w:p>
    <w:p>
      <w:pPr>
        <w:pStyle w:val="null3"/>
        <w:jc w:val="center"/>
        <w:outlineLvl w:val="2"/>
      </w:pPr>
      <w:r>
        <w:rPr>
          <w:rFonts w:ascii="仿宋_GB2312" w:hAnsi="仿宋_GB2312" w:cs="仿宋_GB2312" w:eastAsia="仿宋_GB2312"/>
          <w:sz w:val="28"/>
          <w:b/>
        </w:rPr>
        <w:t>陕西中发项目管理发展有限公司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陕西中发项目管理发展有限公司</w:t>
      </w:r>
      <w:r>
        <w:rPr>
          <w:rFonts w:ascii="仿宋_GB2312" w:hAnsi="仿宋_GB2312" w:cs="仿宋_GB2312" w:eastAsia="仿宋_GB2312"/>
        </w:rPr>
        <w:t>（以下简称“代理机构”）受</w:t>
      </w:r>
      <w:r>
        <w:rPr>
          <w:rFonts w:ascii="仿宋_GB2312" w:hAnsi="仿宋_GB2312" w:cs="仿宋_GB2312" w:eastAsia="仿宋_GB2312"/>
        </w:rPr>
        <w:t>陕西省成本调查监审局</w:t>
      </w:r>
      <w:r>
        <w:rPr>
          <w:rFonts w:ascii="仿宋_GB2312" w:hAnsi="仿宋_GB2312" w:cs="仿宋_GB2312" w:eastAsia="仿宋_GB2312"/>
        </w:rPr>
        <w:t>委托，拟对</w:t>
      </w:r>
      <w:r>
        <w:rPr>
          <w:rFonts w:ascii="仿宋_GB2312" w:hAnsi="仿宋_GB2312" w:cs="仿宋_GB2312" w:eastAsia="仿宋_GB2312"/>
        </w:rPr>
        <w:t>陕西省成本调查监审工作平台信创适配迁移项目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ZFFZ-2026-125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陕西省成本调查监审工作平台信创适配迁移项目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成本调查监审工作平台于2018年建成投运。系统建设主要功能包括成本监审书面通知、资料上报、资料审核、意见告知、报告生成、报告签发、管理分析等。系统主要服务于陕西省成本调查监审局工作人员及政府定价行业被监审对象。系统的核心业务为成本监审，当前已支撑景区交通客运、天然气管道运输、水利工程供水等多个行业的监审工作。本项目核心是完成系统从底层硬件基础设施、基础软件到上层应用系统的全栈式国产化适配与替换，确保核心技术和关键环节的自主可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采购包1（工作平台信创适配迁移项目建设）：属于专门面向中小企业采购。</w:t>
      </w:r>
    </w:p>
    <w:p>
      <w:pPr>
        <w:pStyle w:val="null3"/>
      </w:pPr>
      <w:r>
        <w:rPr>
          <w:rFonts w:ascii="仿宋_GB2312" w:hAnsi="仿宋_GB2312" w:cs="仿宋_GB2312" w:eastAsia="仿宋_GB2312"/>
        </w:rPr>
        <w:t>采购包2（工程监理）：属于专门面向中小企业采购。</w:t>
      </w:r>
    </w:p>
    <w:p>
      <w:pPr>
        <w:pStyle w:val="null3"/>
      </w:pPr>
      <w:r>
        <w:rPr>
          <w:rFonts w:ascii="仿宋_GB2312" w:hAnsi="仿宋_GB2312" w:cs="仿宋_GB2312" w:eastAsia="仿宋_GB2312"/>
        </w:rPr>
        <w:t>采购包3（第三方审计）：属于专门面向中小企业采购。</w:t>
      </w:r>
    </w:p>
    <w:p>
      <w:pPr>
        <w:pStyle w:val="null3"/>
      </w:pPr>
      <w:r>
        <w:rPr>
          <w:rFonts w:ascii="仿宋_GB2312" w:hAnsi="仿宋_GB2312" w:cs="仿宋_GB2312" w:eastAsia="仿宋_GB2312"/>
        </w:rPr>
        <w:t>采购包4（第三方软件测评）：属于专门面向中小企业采购。</w:t>
      </w:r>
    </w:p>
    <w:p>
      <w:pPr>
        <w:pStyle w:val="null3"/>
      </w:pPr>
      <w:r>
        <w:rPr>
          <w:rFonts w:ascii="仿宋_GB2312" w:hAnsi="仿宋_GB2312" w:cs="仿宋_GB2312" w:eastAsia="仿宋_GB2312"/>
        </w:rPr>
        <w:t>采购包5（网络安全等级保护测评）：属于专门面向中小企业采购。</w:t>
      </w:r>
    </w:p>
    <w:p>
      <w:pPr>
        <w:pStyle w:val="null3"/>
      </w:pPr>
      <w:r>
        <w:rPr>
          <w:rFonts w:ascii="仿宋_GB2312" w:hAnsi="仿宋_GB2312" w:cs="仿宋_GB2312" w:eastAsia="仿宋_GB2312"/>
        </w:rPr>
        <w:t>采购包6（密码应用安全性评估）：属于专门面向中小企业采购。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信用记录：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6、控股管理关系：提供直接控股和管理关系清单。若与其他投标人存在单位负责人为同一人或者存在直接控股、管理关系的，则投标无效。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及近三个月社保参保证明（附在资格证明文件中）；法定代表人授权他人参加投标的，须提供法定代表人授权委托书及被授权人近三个月社保参保证明（按格式填写，提供原件）。</w:t>
      </w:r>
    </w:p>
    <w:p>
      <w:pPr>
        <w:pStyle w:val="null3"/>
      </w:pPr>
      <w:r>
        <w:rPr>
          <w:rFonts w:ascii="仿宋_GB2312" w:hAnsi="仿宋_GB2312" w:cs="仿宋_GB2312" w:eastAsia="仿宋_GB2312"/>
        </w:rPr>
        <w:t>9、联合要求：本项目不接受联合体投标。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6、承诺书：具有履行合同所必须的设备和专业技术能力的说明及承诺；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9、联合体要求：本项目不接受联合体投标。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6、承诺书：具有履行合同所必须的设备和专业技术能力的说明及承诺；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9、供应商资质：供应商具备会计师事务所执业证书。</w:t>
      </w:r>
    </w:p>
    <w:p>
      <w:pPr>
        <w:pStyle w:val="null3"/>
      </w:pPr>
      <w:r>
        <w:rPr>
          <w:rFonts w:ascii="仿宋_GB2312" w:hAnsi="仿宋_GB2312" w:cs="仿宋_GB2312" w:eastAsia="仿宋_GB2312"/>
        </w:rPr>
        <w:t>10、联合体要求：本项目不接受联合体投标。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6、承诺书：具有履行合同所必须的设备和专业技术能力的说明及承诺；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9、供应商资质：供应商须具有《中国合格评定国家认可委员会检验机构认可证书CNAS》证书或市场监督管理部门颁发的CMA《检验检测机构资质证书》，提供资质扫描件并加盖公章。</w:t>
      </w:r>
    </w:p>
    <w:p>
      <w:pPr>
        <w:pStyle w:val="null3"/>
      </w:pPr>
      <w:r>
        <w:rPr>
          <w:rFonts w:ascii="仿宋_GB2312" w:hAnsi="仿宋_GB2312" w:cs="仿宋_GB2312" w:eastAsia="仿宋_GB2312"/>
        </w:rPr>
        <w:t>10、联合体要求：本项目不接受联合体投标。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6、承诺书：具有履行合同所必须的设备和专业技术能力的说明及承诺；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9、供应商资质：供应商具有国家认证机构公安部第三研究所颁发的《网络安全服务认证证书等级保护测评服务认证》，提供资质扫描件并加盖公章；</w:t>
      </w:r>
    </w:p>
    <w:p>
      <w:pPr>
        <w:pStyle w:val="null3"/>
      </w:pPr>
      <w:r>
        <w:rPr>
          <w:rFonts w:ascii="仿宋_GB2312" w:hAnsi="仿宋_GB2312" w:cs="仿宋_GB2312" w:eastAsia="仿宋_GB2312"/>
        </w:rPr>
        <w:t>10、联合体要求：本项目不接受联合体投标。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的财务报告或提交响应文件截止时间前六个月内其基本账户开户银行出具的资信证明（附开户许可证或开户备案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6、承诺书：具有履行合同所必须的设备和专业技术能力的说明及承诺；</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9、行业证书：供应商须具备国家密码管理部门同意其开展商用密码应用安全性评估的证明资料，或在国家密码管理局的《商用密码应用安全性评估试点机构目录》内，供应商提供证明资料扫描件并加盖公章。</w:t>
      </w:r>
    </w:p>
    <w:p>
      <w:pPr>
        <w:pStyle w:val="null3"/>
      </w:pPr>
      <w:r>
        <w:rPr>
          <w:rFonts w:ascii="仿宋_GB2312" w:hAnsi="仿宋_GB2312" w:cs="仿宋_GB2312" w:eastAsia="仿宋_GB2312"/>
        </w:rPr>
        <w:t>10、联合体要求：本项目不接受联合体投标。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陕西省成本调查监审局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省政府大院29号楼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63913712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陕西中发项目管理发展有限公司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陕西省西安市碑林区和平路108号佳腾大厦10901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刘超瑛、刘正琴、严程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029-88660760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采购包1：336,400.00元</w:t>
            </w:r>
          </w:p>
          <w:p>
            <w:pPr>
              <w:pStyle w:val="null3"/>
            </w:pPr>
            <w:r>
              <w:rPr>
                <w:rFonts w:ascii="仿宋_GB2312" w:hAnsi="仿宋_GB2312" w:cs="仿宋_GB2312" w:eastAsia="仿宋_GB2312"/>
              </w:rPr>
              <w:t>采购包2：35,000.00元</w:t>
            </w:r>
          </w:p>
          <w:p>
            <w:pPr>
              <w:pStyle w:val="null3"/>
            </w:pPr>
            <w:r>
              <w:rPr>
                <w:rFonts w:ascii="仿宋_GB2312" w:hAnsi="仿宋_GB2312" w:cs="仿宋_GB2312" w:eastAsia="仿宋_GB2312"/>
              </w:rPr>
              <w:t>采购包3：20,000.00元</w:t>
            </w:r>
          </w:p>
          <w:p>
            <w:pPr>
              <w:pStyle w:val="null3"/>
            </w:pPr>
            <w:r>
              <w:rPr>
                <w:rFonts w:ascii="仿宋_GB2312" w:hAnsi="仿宋_GB2312" w:cs="仿宋_GB2312" w:eastAsia="仿宋_GB2312"/>
              </w:rPr>
              <w:t>采购包4：30,000.00元</w:t>
            </w:r>
          </w:p>
          <w:p>
            <w:pPr>
              <w:pStyle w:val="null3"/>
            </w:pPr>
            <w:r>
              <w:rPr>
                <w:rFonts w:ascii="仿宋_GB2312" w:hAnsi="仿宋_GB2312" w:cs="仿宋_GB2312" w:eastAsia="仿宋_GB2312"/>
              </w:rPr>
              <w:t>采购包5：80,000.00元</w:t>
            </w:r>
          </w:p>
          <w:p>
            <w:pPr>
              <w:pStyle w:val="null3"/>
            </w:pPr>
            <w:r>
              <w:rPr>
                <w:rFonts w:ascii="仿宋_GB2312" w:hAnsi="仿宋_GB2312" w:cs="仿宋_GB2312" w:eastAsia="仿宋_GB2312"/>
              </w:rPr>
              <w:t>采购包6：100,000.00元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代理服务费收费标准：本项目代理服务费为固定价，大写：捌仟伍佰元整，小写：￥8500.00元。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陕西省成本调查监审局</w:t>
      </w:r>
      <w:r>
        <w:rPr>
          <w:rFonts w:ascii="仿宋_GB2312" w:hAnsi="仿宋_GB2312" w:cs="仿宋_GB2312" w:eastAsia="仿宋_GB2312"/>
        </w:rPr>
        <w:t>和</w:t>
      </w:r>
      <w:r>
        <w:rPr>
          <w:rFonts w:ascii="仿宋_GB2312" w:hAnsi="仿宋_GB2312" w:cs="仿宋_GB2312" w:eastAsia="仿宋_GB2312"/>
        </w:rPr>
        <w:t>陕西中发项目管理发展有限公司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陕西省成本调查监审局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陕西中发项目管理发展有限公司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陕西省成本调查监审局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陕西中发项目管理发展有限公司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系统的验收和交付按照陕政数据〔2023〕6号文关于印发省级政务信息化项目竣工验收管理办法（试行）的要求执行。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系统的验收和交付按照陕政数据〔2023〕6号文关于印发省级政务信息化项目竣工验收管理办法（试行）的要求执行。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按照陕政数据〔2023〕6号文关于印发省级政务信息化项目竣工验收管理办法（试行）的要求执行。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系统的验收和交付按照陕政数据〔2023〕6号文关于印发省级政务信息化项目竣工验收管理办法（试行）的要求执行。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系统的验收和交付按照陕政数据〔2023〕6号文关于印发省级政务信息化项目竣工验收管理办法（试行）的要求执行。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系统的验收和交付按照陕政数据〔2023〕6号文关于印发省级政务信息化项目竣工验收管理办法（试行）的要求执行。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联系人：刘老师</w:t>
      </w:r>
    </w:p>
    <w:p>
      <w:pPr>
        <w:pStyle w:val="null3"/>
      </w:pPr>
      <w:r>
        <w:rPr>
          <w:rFonts w:ascii="仿宋_GB2312" w:hAnsi="仿宋_GB2312" w:cs="仿宋_GB2312" w:eastAsia="仿宋_GB2312"/>
        </w:rPr>
        <w:t>联系电话：029-88660760</w:t>
      </w:r>
    </w:p>
    <w:p>
      <w:pPr>
        <w:pStyle w:val="null3"/>
      </w:pPr>
      <w:r>
        <w:rPr>
          <w:rFonts w:ascii="仿宋_GB2312" w:hAnsi="仿宋_GB2312" w:cs="仿宋_GB2312" w:eastAsia="仿宋_GB2312"/>
        </w:rPr>
        <w:t>地址：陕西省政务大厅东50米一楼办公室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成本调查监审工作平台于2018年建成投运。系统建设主要功能包括成本监审书面通知、资料上报、资料审核、意见告知、报告生成、报告签发、管理分析等。系统主要服务于陕西省成本调查监审局工作人员及政府定价行业被监审对象。系统的核心业务为成本监审，当前已支撑景区交通客运、天然气管道运输、水利工程供水等多个行业的监审工作。本项目核心是完成系统从底层硬件基础设施、基础软件到上层应用系统的全栈式国产化适配与替换，确保核心技术和关键环节的自主可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336,400.00</w:t>
      </w:r>
    </w:p>
    <w:p>
      <w:pPr>
        <w:pStyle w:val="null3"/>
      </w:pPr>
      <w:r>
        <w:rPr>
          <w:rFonts w:ascii="仿宋_GB2312" w:hAnsi="仿宋_GB2312" w:cs="仿宋_GB2312" w:eastAsia="仿宋_GB2312"/>
        </w:rPr>
        <w:t>采购包最高限价（元）: 336,400.00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工作平台信创适配迁移项目建设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336,400.00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w:t>
      </w:r>
    </w:p>
    <w:p>
      <w:pPr>
        <w:pStyle w:val="null3"/>
      </w:pPr>
      <w:r>
        <w:rPr>
          <w:rFonts w:ascii="仿宋_GB2312" w:hAnsi="仿宋_GB2312" w:cs="仿宋_GB2312" w:eastAsia="仿宋_GB2312"/>
        </w:rPr>
        <w:t>采购包最高限价（元）: 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第三方审计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第三方软件测评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网络安全等级保护测评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密码应用安全性评估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标的名称：工作平台信创适配迁移项目建设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项目目标、内容、实施周期</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hd w:fill="FFFFFF" w:val="clear"/>
              </w:rPr>
              <w:t>1.</w:t>
            </w:r>
            <w:r>
              <w:rPr>
                <w:rFonts w:ascii="仿宋_GB2312" w:hAnsi="仿宋_GB2312" w:cs="仿宋_GB2312" w:eastAsia="仿宋_GB2312"/>
                <w:shd w:fill="FFFFFF" w:val="clear"/>
              </w:rPr>
              <w:t>主要目标：完成《陕西省成本调查监审工作平台》信创适配迁移。</w:t>
            </w:r>
          </w:p>
          <w:p>
            <w:pPr>
              <w:pStyle w:val="null3"/>
              <w:ind w:firstLine="400"/>
              <w:jc w:val="both"/>
            </w:pPr>
            <w:r>
              <w:rPr>
                <w:rFonts w:ascii="仿宋_GB2312" w:hAnsi="仿宋_GB2312" w:cs="仿宋_GB2312" w:eastAsia="仿宋_GB2312"/>
                <w:shd w:fill="FFFFFF" w:val="clear"/>
              </w:rPr>
              <w:t>2</w:t>
            </w:r>
            <w:r>
              <w:rPr>
                <w:rFonts w:ascii="仿宋_GB2312" w:hAnsi="仿宋_GB2312" w:cs="仿宋_GB2312" w:eastAsia="仿宋_GB2312"/>
                <w:shd w:fill="FFFFFF" w:val="clear"/>
              </w:rPr>
              <w:t>.</w:t>
            </w:r>
            <w:r>
              <w:rPr>
                <w:rFonts w:ascii="仿宋_GB2312" w:hAnsi="仿宋_GB2312" w:cs="仿宋_GB2312" w:eastAsia="仿宋_GB2312"/>
                <w:shd w:fill="FFFFFF" w:val="clear"/>
              </w:rPr>
              <w:t>采购内容：</w:t>
            </w:r>
          </w:p>
          <w:p>
            <w:pPr>
              <w:pStyle w:val="null3"/>
              <w:ind w:firstLine="400"/>
              <w:jc w:val="both"/>
            </w:pPr>
            <w:r>
              <w:rPr>
                <w:rFonts w:ascii="仿宋_GB2312" w:hAnsi="仿宋_GB2312" w:cs="仿宋_GB2312" w:eastAsia="仿宋_GB2312"/>
                <w:shd w:fill="FFFFFF" w:val="clear"/>
              </w:rPr>
              <w:t>（</w:t>
            </w:r>
            <w:r>
              <w:rPr>
                <w:rFonts w:ascii="仿宋_GB2312" w:hAnsi="仿宋_GB2312" w:cs="仿宋_GB2312" w:eastAsia="仿宋_GB2312"/>
                <w:shd w:fill="FFFFFF" w:val="clear"/>
              </w:rPr>
              <w:t>1</w:t>
            </w:r>
            <w:r>
              <w:rPr>
                <w:rFonts w:ascii="仿宋_GB2312" w:hAnsi="仿宋_GB2312" w:cs="仿宋_GB2312" w:eastAsia="仿宋_GB2312"/>
                <w:shd w:fill="FFFFFF" w:val="clear"/>
              </w:rPr>
              <w:t>）</w:t>
            </w:r>
            <w:r>
              <w:rPr>
                <w:rFonts w:ascii="仿宋_GB2312" w:hAnsi="仿宋_GB2312" w:cs="仿宋_GB2312" w:eastAsia="仿宋_GB2312"/>
                <w:shd w:fill="FFFFFF" w:val="clear"/>
              </w:rPr>
              <w:t>应用系统适配改造</w:t>
            </w:r>
            <w:r>
              <w:rPr>
                <w:rFonts w:ascii="仿宋_GB2312" w:hAnsi="仿宋_GB2312" w:cs="仿宋_GB2312" w:eastAsia="仿宋_GB2312"/>
                <w:shd w:fill="FFFFFF" w:val="clear"/>
              </w:rPr>
              <w:t>。</w:t>
            </w:r>
            <w:r>
              <w:rPr>
                <w:rFonts w:ascii="仿宋_GB2312" w:hAnsi="仿宋_GB2312" w:cs="仿宋_GB2312" w:eastAsia="仿宋_GB2312"/>
                <w:sz w:val="20"/>
                <w:shd w:fill="FFFFFF" w:val="clear"/>
              </w:rPr>
              <w:t>对现有</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陕西省成本调查监审工作平台</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进行全面的信创环境适配改造，确保应用系统能够在国产化基础软硬件平台上稳定、高效运行。主要改造内容包括：操作系统适配：将应用系统从现有</w:t>
            </w:r>
            <w:r>
              <w:rPr>
                <w:rFonts w:ascii="仿宋_GB2312" w:hAnsi="仿宋_GB2312" w:cs="仿宋_GB2312" w:eastAsia="仿宋_GB2312"/>
                <w:sz w:val="20"/>
                <w:shd w:fill="FFFFFF" w:val="clear"/>
              </w:rPr>
              <w:t>CentOS 7</w:t>
            </w:r>
            <w:r>
              <w:rPr>
                <w:rFonts w:ascii="仿宋_GB2312" w:hAnsi="仿宋_GB2312" w:cs="仿宋_GB2312" w:eastAsia="仿宋_GB2312"/>
                <w:sz w:val="20"/>
                <w:shd w:fill="FFFFFF" w:val="clear"/>
              </w:rPr>
              <w:t>操作系统迁移至指定的国产化操作系统（如麒麟、统信</w:t>
            </w:r>
            <w:r>
              <w:rPr>
                <w:rFonts w:ascii="仿宋_GB2312" w:hAnsi="仿宋_GB2312" w:cs="仿宋_GB2312" w:eastAsia="仿宋_GB2312"/>
                <w:sz w:val="20"/>
                <w:shd w:fill="FFFFFF" w:val="clear"/>
              </w:rPr>
              <w:t>UOS</w:t>
            </w:r>
            <w:r>
              <w:rPr>
                <w:rFonts w:ascii="仿宋_GB2312" w:hAnsi="仿宋_GB2312" w:cs="仿宋_GB2312" w:eastAsia="仿宋_GB2312"/>
                <w:sz w:val="20"/>
                <w:shd w:fill="FFFFFF" w:val="clear"/>
              </w:rPr>
              <w:t>等），完成包括驱动程序、系统</w:t>
            </w:r>
            <w:r>
              <w:rPr>
                <w:rFonts w:ascii="仿宋_GB2312" w:hAnsi="仿宋_GB2312" w:cs="仿宋_GB2312" w:eastAsia="仿宋_GB2312"/>
                <w:sz w:val="20"/>
                <w:shd w:fill="FFFFFF" w:val="clear"/>
              </w:rPr>
              <w:t>API</w:t>
            </w:r>
            <w:r>
              <w:rPr>
                <w:rFonts w:ascii="仿宋_GB2312" w:hAnsi="仿宋_GB2312" w:cs="仿宋_GB2312" w:eastAsia="仿宋_GB2312"/>
                <w:sz w:val="20"/>
                <w:shd w:fill="FFFFFF" w:val="clear"/>
              </w:rPr>
              <w:t>调用、性能参数等方面的适配与优化。数据库适配：将应用系统从现有</w:t>
            </w:r>
            <w:r>
              <w:rPr>
                <w:rFonts w:ascii="仿宋_GB2312" w:hAnsi="仿宋_GB2312" w:cs="仿宋_GB2312" w:eastAsia="仿宋_GB2312"/>
                <w:sz w:val="20"/>
                <w:shd w:fill="FFFFFF" w:val="clear"/>
              </w:rPr>
              <w:t>MySQL 5.7</w:t>
            </w:r>
            <w:r>
              <w:rPr>
                <w:rFonts w:ascii="仿宋_GB2312" w:hAnsi="仿宋_GB2312" w:cs="仿宋_GB2312" w:eastAsia="仿宋_GB2312"/>
                <w:sz w:val="20"/>
                <w:shd w:fill="FFFFFF" w:val="clear"/>
              </w:rPr>
              <w:t>关系型数据库和</w:t>
            </w:r>
            <w:r>
              <w:rPr>
                <w:rFonts w:ascii="仿宋_GB2312" w:hAnsi="仿宋_GB2312" w:cs="仿宋_GB2312" w:eastAsia="仿宋_GB2312"/>
                <w:sz w:val="20"/>
                <w:shd w:fill="FFFFFF" w:val="clear"/>
              </w:rPr>
              <w:t>Redis</w:t>
            </w:r>
            <w:r>
              <w:rPr>
                <w:rFonts w:ascii="仿宋_GB2312" w:hAnsi="仿宋_GB2312" w:cs="仿宋_GB2312" w:eastAsia="仿宋_GB2312"/>
                <w:sz w:val="20"/>
                <w:shd w:fill="FFFFFF" w:val="clear"/>
              </w:rPr>
              <w:t>内存数据库，分别迁移至指定的国产化关系型数据库（如人大金仓、达梦等）和国产化内存数据库。中间件适配：将应用系统从现有</w:t>
            </w:r>
            <w:r>
              <w:rPr>
                <w:rFonts w:ascii="仿宋_GB2312" w:hAnsi="仿宋_GB2312" w:cs="仿宋_GB2312" w:eastAsia="仿宋_GB2312"/>
                <w:sz w:val="20"/>
                <w:shd w:fill="FFFFFF" w:val="clear"/>
              </w:rPr>
              <w:t>Apache Tomcat</w:t>
            </w:r>
            <w:r>
              <w:rPr>
                <w:rFonts w:ascii="仿宋_GB2312" w:hAnsi="仿宋_GB2312" w:cs="仿宋_GB2312" w:eastAsia="仿宋_GB2312"/>
                <w:sz w:val="20"/>
                <w:shd w:fill="FFFFFF" w:val="clear"/>
              </w:rPr>
              <w:t>应用服务器和</w:t>
            </w:r>
            <w:r>
              <w:rPr>
                <w:rFonts w:ascii="仿宋_GB2312" w:hAnsi="仿宋_GB2312" w:cs="仿宋_GB2312" w:eastAsia="仿宋_GB2312"/>
                <w:sz w:val="20"/>
                <w:shd w:fill="FFFFFF" w:val="clear"/>
              </w:rPr>
              <w:t>Nginx Web</w:t>
            </w:r>
            <w:r>
              <w:rPr>
                <w:rFonts w:ascii="仿宋_GB2312" w:hAnsi="仿宋_GB2312" w:cs="仿宋_GB2312" w:eastAsia="仿宋_GB2312"/>
                <w:sz w:val="20"/>
                <w:shd w:fill="FFFFFF" w:val="clear"/>
              </w:rPr>
              <w:t>服务器，分别迁移至指定的国产化应用服务器中间件（如东方通</w:t>
            </w:r>
            <w:r>
              <w:rPr>
                <w:rFonts w:ascii="仿宋_GB2312" w:hAnsi="仿宋_GB2312" w:cs="仿宋_GB2312" w:eastAsia="仿宋_GB2312"/>
                <w:sz w:val="20"/>
                <w:shd w:fill="FFFFFF" w:val="clear"/>
              </w:rPr>
              <w:t>TongWeb</w:t>
            </w:r>
            <w:r>
              <w:rPr>
                <w:rFonts w:ascii="仿宋_GB2312" w:hAnsi="仿宋_GB2312" w:cs="仿宋_GB2312" w:eastAsia="仿宋_GB2312"/>
                <w:sz w:val="20"/>
                <w:shd w:fill="FFFFFF" w:val="clear"/>
              </w:rPr>
              <w:t>等）和</w:t>
            </w:r>
            <w:r>
              <w:rPr>
                <w:rFonts w:ascii="仿宋_GB2312" w:hAnsi="仿宋_GB2312" w:cs="仿宋_GB2312" w:eastAsia="仿宋_GB2312"/>
                <w:sz w:val="20"/>
                <w:shd w:fill="FFFFFF" w:val="clear"/>
              </w:rPr>
              <w:t>Web</w:t>
            </w:r>
            <w:r>
              <w:rPr>
                <w:rFonts w:ascii="仿宋_GB2312" w:hAnsi="仿宋_GB2312" w:cs="仿宋_GB2312" w:eastAsia="仿宋_GB2312"/>
                <w:sz w:val="20"/>
                <w:shd w:fill="FFFFFF" w:val="clear"/>
              </w:rPr>
              <w:t>服务器中间件。第三方组件适配：将应用系统依赖的第三方报表工具替换为符合信创要求的国产化产品。确保在线报表设计、填报、计算、校验等核心功能无缝衔接。</w:t>
            </w:r>
          </w:p>
          <w:p>
            <w:pPr>
              <w:pStyle w:val="null3"/>
              <w:ind w:firstLine="400"/>
              <w:jc w:val="both"/>
            </w:pPr>
            <w:r>
              <w:rPr>
                <w:rFonts w:ascii="仿宋_GB2312" w:hAnsi="仿宋_GB2312" w:cs="仿宋_GB2312" w:eastAsia="仿宋_GB2312"/>
                <w:shd w:fill="FFFFFF" w:val="clear"/>
              </w:rPr>
              <w:t>（</w:t>
            </w:r>
            <w:r>
              <w:rPr>
                <w:rFonts w:ascii="仿宋_GB2312" w:hAnsi="仿宋_GB2312" w:cs="仿宋_GB2312" w:eastAsia="仿宋_GB2312"/>
                <w:shd w:fill="FFFFFF" w:val="clear"/>
              </w:rPr>
              <w:t>2</w:t>
            </w:r>
            <w:r>
              <w:rPr>
                <w:rFonts w:ascii="仿宋_GB2312" w:hAnsi="仿宋_GB2312" w:cs="仿宋_GB2312" w:eastAsia="仿宋_GB2312"/>
                <w:shd w:fill="FFFFFF" w:val="clear"/>
              </w:rPr>
              <w:t>）</w:t>
            </w:r>
            <w:r>
              <w:rPr>
                <w:rFonts w:ascii="仿宋_GB2312" w:hAnsi="仿宋_GB2312" w:cs="仿宋_GB2312" w:eastAsia="仿宋_GB2312"/>
                <w:sz w:val="20"/>
                <w:shd w:fill="FFFFFF" w:val="clear"/>
              </w:rPr>
              <w:t>数据迁移</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负责将现有平台全部数据安全、完整、准确地迁移至新的信创环境中。迁移范围包括：结构化数据迁移：迁移数据库中存储的所有业务数据、流程数据和系统配置数据。需制定详细的数据迁移方案，并进行严格的数据一致性校验。非结构化数据迁移：迁移存储在服务器上的所有文件类数据。需确保文件在迁移过程中无损坏、无丢失，并保持原有目录结构和文件属性。</w:t>
            </w:r>
          </w:p>
          <w:p>
            <w:pPr>
              <w:pStyle w:val="null3"/>
            </w:pPr>
            <w:r>
              <w:rPr>
                <w:rFonts w:ascii="仿宋_GB2312" w:hAnsi="仿宋_GB2312" w:cs="仿宋_GB2312" w:eastAsia="仿宋_GB2312"/>
                <w:sz w:val="21"/>
              </w:rPr>
              <w:t>3.</w:t>
            </w:r>
            <w:r>
              <w:rPr>
                <w:rFonts w:ascii="仿宋_GB2312" w:hAnsi="仿宋_GB2312" w:cs="仿宋_GB2312" w:eastAsia="仿宋_GB2312"/>
                <w:sz w:val="21"/>
              </w:rPr>
              <w:t>项目周期：</w:t>
            </w:r>
            <w:r>
              <w:rPr>
                <w:rFonts w:ascii="仿宋_GB2312" w:hAnsi="仿宋_GB2312" w:cs="仿宋_GB2312" w:eastAsia="仿宋_GB2312"/>
                <w:sz w:val="21"/>
              </w:rPr>
              <w:t>8</w:t>
            </w:r>
            <w:r>
              <w:rPr>
                <w:rFonts w:ascii="仿宋_GB2312" w:hAnsi="仿宋_GB2312" w:cs="仿宋_GB2312" w:eastAsia="仿宋_GB2312"/>
                <w:sz w:val="21"/>
              </w:rPr>
              <w:t>个月。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color w:val="000000"/>
                <w:shd w:fill="FFFFFF" w:val="clear"/>
              </w:rPr>
              <w:t>系统功能清单</w:t>
            </w:r>
            <w:r>
              <w:rPr>
                <w:rFonts w:ascii="仿宋_GB2312" w:hAnsi="仿宋_GB2312" w:cs="仿宋_GB2312" w:eastAsia="仿宋_GB2312"/>
                <w:sz w:val="20"/>
                <w:shd w:fill="FFFFFF" w:val="clear"/>
              </w:rPr>
              <w:t>：</w:t>
            </w:r>
          </w:p>
          <w:tbl>
            <w:tblPr>
              <w:tblInd w:type="dxa" w:w="75"/>
              <w:tblBorders>
                <w:top w:val="none" w:color="000000" w:sz="4"/>
                <w:left w:val="none" w:color="000000" w:sz="4"/>
                <w:bottom w:val="none" w:color="000000" w:sz="4"/>
                <w:right w:val="none" w:color="000000" w:sz="4"/>
                <w:insideH w:val="none"/>
                <w:insideV w:val="none"/>
              </w:tblBorders>
            </w:tblPr>
            <w:tblGrid>
              <w:gridCol w:w="384"/>
              <w:gridCol w:w="2169"/>
            </w:tblGrid>
            <w:tr>
              <w:tc>
                <w:tcPr>
                  <w:tcW w:type="dxa" w:w="38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功能模块</w:t>
                  </w:r>
                </w:p>
              </w:tc>
              <w:tc>
                <w:tcPr>
                  <w:tcW w:type="dxa" w:w="21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功能描述</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书面通知</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shd w:fill="FFFFFF" w:val="clear"/>
                    </w:rPr>
                    <w:t>实现监审任务的线上发起与送达。核心功能包括：通知文件的生成、发布；支持企业用户在线查看与下载；并提供通知送达状态的记录与查询。</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资料上报</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shd w:fill="FFFFFF" w:val="clear"/>
                    </w:rPr>
                    <w:t>支撑企业完成全套监审资料的填报与提交。核心功能包括：企业基本信息的填报与维护；依据资料清单进行文件的上传、分类管理与确认；在线填报复杂报表，支持数据智能计算、多源数据引用、强规则校验；支持填报进度的暂存与最终提交。</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资料审核</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shd w:fill="FFFFFF" w:val="clear"/>
                    </w:rPr>
                    <w:t>实现</w:t>
                  </w:r>
                  <w:r>
                    <w:rPr>
                      <w:rFonts w:ascii="仿宋_GB2312" w:hAnsi="仿宋_GB2312" w:cs="仿宋_GB2312" w:eastAsia="仿宋_GB2312"/>
                      <w:sz w:val="19"/>
                      <w:shd w:fill="FFFFFF" w:val="clear"/>
                    </w:rPr>
                    <w:t>省</w:t>
                  </w:r>
                  <w:r>
                    <w:rPr>
                      <w:rFonts w:ascii="仿宋_GB2312" w:hAnsi="仿宋_GB2312" w:cs="仿宋_GB2312" w:eastAsia="仿宋_GB2312"/>
                      <w:sz w:val="19"/>
                      <w:shd w:fill="FFFFFF" w:val="clear"/>
                    </w:rPr>
                    <w:t>成本</w:t>
                  </w:r>
                  <w:r>
                    <w:rPr>
                      <w:rFonts w:ascii="仿宋_GB2312" w:hAnsi="仿宋_GB2312" w:cs="仿宋_GB2312" w:eastAsia="仿宋_GB2312"/>
                      <w:sz w:val="19"/>
                      <w:shd w:fill="FFFFFF" w:val="clear"/>
                    </w:rPr>
                    <w:t>调查监审</w:t>
                  </w:r>
                  <w:r>
                    <w:rPr>
                      <w:rFonts w:ascii="仿宋_GB2312" w:hAnsi="仿宋_GB2312" w:cs="仿宋_GB2312" w:eastAsia="仿宋_GB2312"/>
                      <w:sz w:val="19"/>
                      <w:shd w:fill="FFFFFF" w:val="clear"/>
                    </w:rPr>
                    <w:t>局对上报资料的线上审核流程。核心功能包括：审核任务的分配与接收；对企业信息、上传文件及报表数据进行审阅、核查与校验；记录审核意见；对于不符合要求的资料，可发起补充或修改要求，并跟踪后续处理情况。</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意见告知</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shd w:fill="FFFFFF" w:val="clear"/>
                    </w:rPr>
                    <w:t>实现审核结果的线上反馈与确认。核心功能包括：生成并下发征求意见函及相关文件；企业可在线查收、下载结果文件；接收并处理企业的反馈意见（如异议申述及相关附件上传），完成交互闭环。</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报告生成</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shd w:fill="FFFFFF" w:val="clear"/>
                    </w:rPr>
                    <w:t>自动化完成成本监审报告的编制。核心功能包括：基于审核通过的数据，根据预设模板自动生成成本监审报告草案；支持对报告内容的编辑、校验与格式化；支持报告版本的保存与管理。</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报告签发</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shd w:fill="FFFFFF" w:val="clear"/>
                    </w:rPr>
                    <w:t>实现报告的最终审批与生效流程。核心功能包括：对接报告签发流程，实现报告的提交、多级审核、批准等线上流转；报告定稿后的电子签章应用与最终版锁定；生成正式监审报告。</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管理分析</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shd w:fill="FFFFFF" w:val="clear"/>
                    </w:rPr>
                    <w:t>提供全流程数据的统计与监管视图。核心功能包括：对监审项目、企业上报进度、审核状态等进行多维度查询与统计；对产生的核心业务数据进行汇总与分析，并以图表形式展现；为管理决策提供数据支持。</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both"/>
            </w:pPr>
            <w:r>
              <w:rPr>
                <w:rFonts w:ascii="仿宋_GB2312" w:hAnsi="仿宋_GB2312" w:cs="仿宋_GB2312" w:eastAsia="仿宋_GB2312"/>
                <w:sz w:val="20"/>
                <w:color w:val="000000"/>
                <w:shd w:fill="FFFFFF" w:val="clear"/>
              </w:rPr>
              <w:t>非功能要求</w:t>
            </w:r>
            <w:r>
              <w:rPr>
                <w:rFonts w:ascii="仿宋_GB2312" w:hAnsi="仿宋_GB2312" w:cs="仿宋_GB2312" w:eastAsia="仿宋_GB2312"/>
                <w:sz w:val="20"/>
                <w:shd w:fill="FFFFFF" w:val="clear"/>
              </w:rPr>
              <w:t>：</w:t>
            </w:r>
          </w:p>
          <w:p>
            <w:pPr>
              <w:pStyle w:val="null3"/>
              <w:ind w:firstLine="400"/>
              <w:jc w:val="both"/>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资源要求</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平台将部署于省级政务信创云平台，供应商需根据系统特点和未来业务增长预期，提出合理的资源配置方案。以下为最低资源配置要求：</w:t>
            </w:r>
          </w:p>
          <w:tbl>
            <w:tblPr>
              <w:tblBorders>
                <w:top w:val="none" w:color="000000" w:sz="4"/>
                <w:left w:val="none" w:color="000000" w:sz="4"/>
                <w:bottom w:val="none" w:color="000000" w:sz="4"/>
                <w:right w:val="none" w:color="000000" w:sz="4"/>
                <w:insideH w:val="none"/>
                <w:insideV w:val="none"/>
              </w:tblBorders>
            </w:tblPr>
            <w:tblGrid>
              <w:gridCol w:w="359"/>
              <w:gridCol w:w="765"/>
              <w:gridCol w:w="1429"/>
            </w:tblGrid>
            <w:tr>
              <w:tc>
                <w:tcPr>
                  <w:tcW w:type="dxa" w:w="359"/>
                  <w:tcBorders>
                    <w:top w:val="singl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shd w:fill="FFFFFF" w:val="clear"/>
                    </w:rPr>
                    <w:t>资源类别</w:t>
                  </w:r>
                </w:p>
              </w:tc>
              <w:tc>
                <w:tcPr>
                  <w:tcW w:type="dxa" w:w="765"/>
                  <w:tcBorders>
                    <w:top w:val="singl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shd w:fill="FFFFFF" w:val="clear"/>
                    </w:rPr>
                    <w:t>规格要求</w:t>
                  </w:r>
                </w:p>
              </w:tc>
              <w:tc>
                <w:tcPr>
                  <w:tcW w:type="dxa" w:w="1429"/>
                  <w:tcBorders>
                    <w:top w:val="single" w:color="000000" w:sz="4"/>
                    <w:left w:val="single" w:color="000000" w:sz="4"/>
                    <w:bottom w:val="single" w:color="000000" w:sz="4"/>
                    <w:right w:val="single" w:color="000000" w:sz="4"/>
                  </w:tcBorders>
                  <w:shd w:fill="FFFFFF"/>
                  <w:tcMar>
                    <w:top w:type="dxa" w:w="120"/>
                    <w:left w:type="dxa" w:w="180"/>
                    <w:bottom w:type="dxa" w:w="120"/>
                    <w:right w:type="dxa" w:w="180"/>
                  </w:tcMar>
                  <w:vAlign w:val="top"/>
                </w:tcPr>
                <w:p>
                  <w:pPr>
                    <w:pStyle w:val="null3"/>
                    <w:jc w:val="center"/>
                  </w:pPr>
                  <w:r>
                    <w:rPr>
                      <w:rFonts w:ascii="仿宋_GB2312" w:hAnsi="仿宋_GB2312" w:cs="仿宋_GB2312" w:eastAsia="仿宋_GB2312"/>
                      <w:sz w:val="20"/>
                      <w:shd w:fill="FFFFFF" w:val="clear"/>
                    </w:rPr>
                    <w:t>功能定位与说明</w:t>
                  </w:r>
                </w:p>
              </w:tc>
            </w:tr>
            <w:tr>
              <w:tc>
                <w:tcPr>
                  <w:tcW w:type="dxa" w:w="35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应用服务器</w:t>
                  </w:r>
                </w:p>
              </w:tc>
              <w:tc>
                <w:tcPr>
                  <w:tcW w:type="dxa" w:w="765"/>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CPU≥8</w:t>
                  </w:r>
                  <w:r>
                    <w:rPr>
                      <w:rFonts w:ascii="仿宋_GB2312" w:hAnsi="仿宋_GB2312" w:cs="仿宋_GB2312" w:eastAsia="仿宋_GB2312"/>
                      <w:sz w:val="20"/>
                      <w:shd w:fill="FFFFFF" w:val="clear"/>
                    </w:rPr>
                    <w:t>核，内存</w:t>
                  </w:r>
                  <w:r>
                    <w:rPr>
                      <w:rFonts w:ascii="仿宋_GB2312" w:hAnsi="仿宋_GB2312" w:cs="仿宋_GB2312" w:eastAsia="仿宋_GB2312"/>
                      <w:sz w:val="20"/>
                      <w:shd w:fill="FFFFFF" w:val="clear"/>
                    </w:rPr>
                    <w:t>≥32GB</w:t>
                  </w:r>
                  <w:r>
                    <w:rPr>
                      <w:rFonts w:ascii="仿宋_GB2312" w:hAnsi="仿宋_GB2312" w:cs="仿宋_GB2312" w:eastAsia="仿宋_GB2312"/>
                      <w:sz w:val="20"/>
                      <w:shd w:fill="FFFFFF" w:val="clear"/>
                    </w:rPr>
                    <w:t>，硬盘</w:t>
                  </w:r>
                  <w:r>
                    <w:rPr>
                      <w:rFonts w:ascii="仿宋_GB2312" w:hAnsi="仿宋_GB2312" w:cs="仿宋_GB2312" w:eastAsia="仿宋_GB2312"/>
                      <w:sz w:val="20"/>
                      <w:shd w:fill="FFFFFF" w:val="clear"/>
                    </w:rPr>
                    <w:t>≥300GB SSD</w:t>
                  </w:r>
                </w:p>
              </w:tc>
              <w:tc>
                <w:tcPr>
                  <w:tcW w:type="dxa" w:w="142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部署应用系统后端服务。配置需满足当前业务负载，并为未来</w:t>
                  </w:r>
                  <w:r>
                    <w:rPr>
                      <w:rFonts w:ascii="仿宋_GB2312" w:hAnsi="仿宋_GB2312" w:cs="仿宋_GB2312" w:eastAsia="仿宋_GB2312"/>
                      <w:sz w:val="20"/>
                      <w:shd w:fill="FFFFFF" w:val="clear"/>
                    </w:rPr>
                    <w:t>3-5</w:t>
                  </w:r>
                  <w:r>
                    <w:rPr>
                      <w:rFonts w:ascii="仿宋_GB2312" w:hAnsi="仿宋_GB2312" w:cs="仿宋_GB2312" w:eastAsia="仿宋_GB2312"/>
                      <w:sz w:val="20"/>
                      <w:shd w:fill="FFFFFF" w:val="clear"/>
                    </w:rPr>
                    <w:t>年业务增长和系统模块扩展预留不低于</w:t>
                  </w:r>
                  <w:r>
                    <w:rPr>
                      <w:rFonts w:ascii="仿宋_GB2312" w:hAnsi="仿宋_GB2312" w:cs="仿宋_GB2312" w:eastAsia="仿宋_GB2312"/>
                      <w:sz w:val="20"/>
                      <w:shd w:fill="FFFFFF" w:val="clear"/>
                    </w:rPr>
                    <w:t>70%</w:t>
                  </w:r>
                  <w:r>
                    <w:rPr>
                      <w:rFonts w:ascii="仿宋_GB2312" w:hAnsi="仿宋_GB2312" w:cs="仿宋_GB2312" w:eastAsia="仿宋_GB2312"/>
                      <w:sz w:val="20"/>
                      <w:shd w:fill="FFFFFF" w:val="clear"/>
                    </w:rPr>
                    <w:t>的性能余量。</w:t>
                  </w:r>
                </w:p>
              </w:tc>
            </w:tr>
            <w:tr>
              <w:tc>
                <w:tcPr>
                  <w:tcW w:type="dxa" w:w="35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数据库服务器</w:t>
                  </w:r>
                </w:p>
              </w:tc>
              <w:tc>
                <w:tcPr>
                  <w:tcW w:type="dxa" w:w="765"/>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CPU≥16</w:t>
                  </w:r>
                  <w:r>
                    <w:rPr>
                      <w:rFonts w:ascii="仿宋_GB2312" w:hAnsi="仿宋_GB2312" w:cs="仿宋_GB2312" w:eastAsia="仿宋_GB2312"/>
                      <w:sz w:val="20"/>
                      <w:shd w:fill="FFFFFF" w:val="clear"/>
                    </w:rPr>
                    <w:t>核，内存</w:t>
                  </w:r>
                  <w:r>
                    <w:rPr>
                      <w:rFonts w:ascii="仿宋_GB2312" w:hAnsi="仿宋_GB2312" w:cs="仿宋_GB2312" w:eastAsia="仿宋_GB2312"/>
                      <w:sz w:val="20"/>
                      <w:shd w:fill="FFFFFF" w:val="clear"/>
                    </w:rPr>
                    <w:t>≥64GB</w:t>
                  </w:r>
                  <w:r>
                    <w:rPr>
                      <w:rFonts w:ascii="仿宋_GB2312" w:hAnsi="仿宋_GB2312" w:cs="仿宋_GB2312" w:eastAsia="仿宋_GB2312"/>
                      <w:sz w:val="20"/>
                      <w:shd w:fill="FFFFFF" w:val="clear"/>
                    </w:rPr>
                    <w:t>，硬盘</w:t>
                  </w:r>
                  <w:r>
                    <w:rPr>
                      <w:rFonts w:ascii="仿宋_GB2312" w:hAnsi="仿宋_GB2312" w:cs="仿宋_GB2312" w:eastAsia="仿宋_GB2312"/>
                      <w:sz w:val="20"/>
                      <w:shd w:fill="FFFFFF" w:val="clear"/>
                    </w:rPr>
                    <w:t xml:space="preserve">≥300GB </w:t>
                  </w:r>
                  <w:r>
                    <w:rPr>
                      <w:rFonts w:ascii="仿宋_GB2312" w:hAnsi="仿宋_GB2312" w:cs="仿宋_GB2312" w:eastAsia="仿宋_GB2312"/>
                      <w:sz w:val="20"/>
                      <w:shd w:fill="FFFFFF" w:val="clear"/>
                    </w:rPr>
                    <w:t>企业级</w:t>
                  </w:r>
                  <w:r>
                    <w:rPr>
                      <w:rFonts w:ascii="仿宋_GB2312" w:hAnsi="仿宋_GB2312" w:cs="仿宋_GB2312" w:eastAsia="仿宋_GB2312"/>
                      <w:sz w:val="20"/>
                      <w:shd w:fill="FFFFFF" w:val="clear"/>
                    </w:rPr>
                    <w:t>SSD</w:t>
                  </w:r>
                </w:p>
              </w:tc>
              <w:tc>
                <w:tcPr>
                  <w:tcW w:type="dxa" w:w="142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部署国产化关系型数据库和内存数据库。需为国产数据库初期性能磨合及后续数据量增长提供强有力的性能保障，满足</w:t>
                  </w:r>
                  <w:r>
                    <w:rPr>
                      <w:rFonts w:ascii="仿宋_GB2312" w:hAnsi="仿宋_GB2312" w:cs="仿宋_GB2312" w:eastAsia="仿宋_GB2312"/>
                      <w:sz w:val="20"/>
                      <w:shd w:fill="FFFFFF" w:val="clear"/>
                    </w:rPr>
                    <w:t>I/O</w:t>
                  </w:r>
                  <w:r>
                    <w:rPr>
                      <w:rFonts w:ascii="仿宋_GB2312" w:hAnsi="仿宋_GB2312" w:cs="仿宋_GB2312" w:eastAsia="仿宋_GB2312"/>
                      <w:sz w:val="20"/>
                      <w:shd w:fill="FFFFFF" w:val="clear"/>
                    </w:rPr>
                    <w:t>密集型操作需求。</w:t>
                  </w:r>
                </w:p>
              </w:tc>
            </w:tr>
            <w:tr>
              <w:tc>
                <w:tcPr>
                  <w:tcW w:type="dxa" w:w="35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网关服务器</w:t>
                  </w:r>
                </w:p>
              </w:tc>
              <w:tc>
                <w:tcPr>
                  <w:tcW w:type="dxa" w:w="765"/>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CPU≥8</w:t>
                  </w:r>
                  <w:r>
                    <w:rPr>
                      <w:rFonts w:ascii="仿宋_GB2312" w:hAnsi="仿宋_GB2312" w:cs="仿宋_GB2312" w:eastAsia="仿宋_GB2312"/>
                      <w:sz w:val="20"/>
                      <w:shd w:fill="FFFFFF" w:val="clear"/>
                    </w:rPr>
                    <w:t>核，内存</w:t>
                  </w:r>
                  <w:r>
                    <w:rPr>
                      <w:rFonts w:ascii="仿宋_GB2312" w:hAnsi="仿宋_GB2312" w:cs="仿宋_GB2312" w:eastAsia="仿宋_GB2312"/>
                      <w:sz w:val="20"/>
                      <w:shd w:fill="FFFFFF" w:val="clear"/>
                    </w:rPr>
                    <w:t>≥32GB</w:t>
                  </w:r>
                  <w:r>
                    <w:rPr>
                      <w:rFonts w:ascii="仿宋_GB2312" w:hAnsi="仿宋_GB2312" w:cs="仿宋_GB2312" w:eastAsia="仿宋_GB2312"/>
                      <w:sz w:val="20"/>
                      <w:shd w:fill="FFFFFF" w:val="clear"/>
                    </w:rPr>
                    <w:t>，硬盘</w:t>
                  </w:r>
                  <w:r>
                    <w:rPr>
                      <w:rFonts w:ascii="仿宋_GB2312" w:hAnsi="仿宋_GB2312" w:cs="仿宋_GB2312" w:eastAsia="仿宋_GB2312"/>
                      <w:sz w:val="20"/>
                      <w:shd w:fill="FFFFFF" w:val="clear"/>
                    </w:rPr>
                    <w:t>≥100GB SSD</w:t>
                  </w:r>
                </w:p>
              </w:tc>
              <w:tc>
                <w:tcPr>
                  <w:tcW w:type="dxa" w:w="142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作为反向代理与安全网关，处理互联网及政务外网的访问请求。需承载证书验证、请求过滤等计算密集型任务，并维持大量并发连接。</w:t>
                  </w:r>
                </w:p>
              </w:tc>
            </w:tr>
            <w:tr>
              <w:tc>
                <w:tcPr>
                  <w:tcW w:type="dxa" w:w="35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备份服务器</w:t>
                  </w:r>
                </w:p>
              </w:tc>
              <w:tc>
                <w:tcPr>
                  <w:tcW w:type="dxa" w:w="765"/>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CPU≥8</w:t>
                  </w:r>
                  <w:r>
                    <w:rPr>
                      <w:rFonts w:ascii="仿宋_GB2312" w:hAnsi="仿宋_GB2312" w:cs="仿宋_GB2312" w:eastAsia="仿宋_GB2312"/>
                      <w:sz w:val="20"/>
                      <w:shd w:fill="FFFFFF" w:val="clear"/>
                    </w:rPr>
                    <w:t>核，内存</w:t>
                  </w:r>
                  <w:r>
                    <w:rPr>
                      <w:rFonts w:ascii="仿宋_GB2312" w:hAnsi="仿宋_GB2312" w:cs="仿宋_GB2312" w:eastAsia="仿宋_GB2312"/>
                      <w:sz w:val="20"/>
                      <w:shd w:fill="FFFFFF" w:val="clear"/>
                    </w:rPr>
                    <w:t>≥32GB</w:t>
                  </w:r>
                  <w:r>
                    <w:rPr>
                      <w:rFonts w:ascii="仿宋_GB2312" w:hAnsi="仿宋_GB2312" w:cs="仿宋_GB2312" w:eastAsia="仿宋_GB2312"/>
                      <w:sz w:val="20"/>
                      <w:shd w:fill="FFFFFF" w:val="clear"/>
                    </w:rPr>
                    <w:t>，硬盘</w:t>
                  </w:r>
                  <w:r>
                    <w:rPr>
                      <w:rFonts w:ascii="仿宋_GB2312" w:hAnsi="仿宋_GB2312" w:cs="仿宋_GB2312" w:eastAsia="仿宋_GB2312"/>
                      <w:sz w:val="20"/>
                      <w:shd w:fill="FFFFFF" w:val="clear"/>
                    </w:rPr>
                    <w:t>≥300GB</w:t>
                  </w:r>
                </w:p>
              </w:tc>
              <w:tc>
                <w:tcPr>
                  <w:tcW w:type="dxa" w:w="142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用于数据本地备份。存储空间需满足至少</w:t>
                  </w:r>
                  <w:r>
                    <w:rPr>
                      <w:rFonts w:ascii="仿宋_GB2312" w:hAnsi="仿宋_GB2312" w:cs="仿宋_GB2312" w:eastAsia="仿宋_GB2312"/>
                      <w:sz w:val="20"/>
                      <w:shd w:fill="FFFFFF" w:val="clear"/>
                    </w:rPr>
                    <w:t>365</w:t>
                  </w:r>
                  <w:r>
                    <w:rPr>
                      <w:rFonts w:ascii="仿宋_GB2312" w:hAnsi="仿宋_GB2312" w:cs="仿宋_GB2312" w:eastAsia="仿宋_GB2312"/>
                      <w:sz w:val="20"/>
                      <w:shd w:fill="FFFFFF" w:val="clear"/>
                    </w:rPr>
                    <w:t>天的全量备份数据存储需求，确保数据可恢复性。</w:t>
                  </w:r>
                </w:p>
              </w:tc>
            </w:tr>
            <w:tr>
              <w:tc>
                <w:tcPr>
                  <w:tcW w:type="dxa" w:w="35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网络资源</w:t>
                  </w:r>
                </w:p>
              </w:tc>
              <w:tc>
                <w:tcPr>
                  <w:tcW w:type="dxa" w:w="765"/>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公网带宽</w:t>
                  </w:r>
                  <w:r>
                    <w:rPr>
                      <w:rFonts w:ascii="仿宋_GB2312" w:hAnsi="仿宋_GB2312" w:cs="仿宋_GB2312" w:eastAsia="仿宋_GB2312"/>
                      <w:sz w:val="20"/>
                      <w:shd w:fill="FFFFFF" w:val="clear"/>
                    </w:rPr>
                    <w:t>≥10Mbps</w:t>
                  </w:r>
                  <w:r>
                    <w:rPr>
                      <w:rFonts w:ascii="仿宋_GB2312" w:hAnsi="仿宋_GB2312" w:cs="仿宋_GB2312" w:eastAsia="仿宋_GB2312"/>
                      <w:sz w:val="20"/>
                      <w:shd w:fill="FFFFFF" w:val="clear"/>
                    </w:rPr>
                    <w:t>，局域网带宽</w:t>
                  </w:r>
                  <w:r>
                    <w:rPr>
                      <w:rFonts w:ascii="仿宋_GB2312" w:hAnsi="仿宋_GB2312" w:cs="仿宋_GB2312" w:eastAsia="仿宋_GB2312"/>
                      <w:sz w:val="20"/>
                      <w:shd w:fill="FFFFFF" w:val="clear"/>
                    </w:rPr>
                    <w:t>≥10Mbps</w:t>
                  </w:r>
                </w:p>
              </w:tc>
              <w:tc>
                <w:tcPr>
                  <w:tcW w:type="dxa" w:w="1429"/>
                  <w:tcBorders>
                    <w:top w:val="none" w:color="000000" w:sz="4"/>
                    <w:left w:val="single" w:color="000000" w:sz="4"/>
                    <w:bottom w:val="single" w:color="000000" w:sz="4"/>
                    <w:right w:val="single" w:color="000000" w:sz="4"/>
                  </w:tcBorders>
                  <w:tcMar>
                    <w:top w:type="dxa" w:w="120"/>
                    <w:left w:type="dxa" w:w="180"/>
                    <w:bottom w:type="dxa" w:w="120"/>
                    <w:right w:type="dxa" w:w="180"/>
                  </w:tcMar>
                  <w:vAlign w:val="top"/>
                </w:tcPr>
                <w:p>
                  <w:pPr>
                    <w:pStyle w:val="null3"/>
                    <w:ind w:firstLine="400"/>
                    <w:jc w:val="both"/>
                  </w:pPr>
                  <w:r>
                    <w:rPr>
                      <w:rFonts w:ascii="仿宋_GB2312" w:hAnsi="仿宋_GB2312" w:cs="仿宋_GB2312" w:eastAsia="仿宋_GB2312"/>
                      <w:sz w:val="20"/>
                      <w:shd w:fill="FFFFFF" w:val="clear"/>
                    </w:rPr>
                    <w:t>保障企业用户的外部访问体验，以及应用服务器与数据库服务器之间的高速、稳定内网通信。</w:t>
                  </w:r>
                </w:p>
              </w:tc>
            </w:tr>
          </w:tbl>
          <w:p>
            <w:pPr>
              <w:pStyle w:val="null3"/>
              <w:ind w:firstLine="400"/>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网络安全要求</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平台作为关键业务系统，必须满足国家网络安全相关法规和标准的要求。</w:t>
            </w:r>
          </w:p>
          <w:p>
            <w:pPr>
              <w:pStyle w:val="null3"/>
              <w:ind w:firstLine="400"/>
              <w:jc w:val="both"/>
            </w:pPr>
            <w:r>
              <w:rPr>
                <w:rFonts w:ascii="仿宋_GB2312" w:hAnsi="仿宋_GB2312" w:cs="仿宋_GB2312" w:eastAsia="仿宋_GB2312"/>
                <w:shd w:fill="FFFFFF" w:val="clear"/>
              </w:rPr>
              <w:t>配合完成</w:t>
            </w:r>
            <w:r>
              <w:rPr>
                <w:rFonts w:ascii="仿宋_GB2312" w:hAnsi="仿宋_GB2312" w:cs="仿宋_GB2312" w:eastAsia="仿宋_GB2312"/>
                <w:sz w:val="20"/>
                <w:shd w:fill="FFFFFF" w:val="clear"/>
              </w:rPr>
              <w:t>等级保护：</w:t>
            </w:r>
            <w:r>
              <w:rPr>
                <w:rFonts w:ascii="仿宋_GB2312" w:hAnsi="仿宋_GB2312" w:cs="仿宋_GB2312" w:eastAsia="仿宋_GB2312"/>
                <w:sz w:val="20"/>
                <w:shd w:fill="FFFFFF" w:val="clear"/>
              </w:rPr>
              <w:t>系统安全保护</w:t>
            </w:r>
            <w:r>
              <w:rPr>
                <w:rFonts w:ascii="仿宋_GB2312" w:hAnsi="仿宋_GB2312" w:cs="仿宋_GB2312" w:eastAsia="仿宋_GB2312"/>
                <w:shd w:fill="FFFFFF" w:val="clear"/>
              </w:rPr>
              <w:t>等级</w:t>
            </w:r>
            <w:r>
              <w:rPr>
                <w:rFonts w:ascii="仿宋_GB2312" w:hAnsi="仿宋_GB2312" w:cs="仿宋_GB2312" w:eastAsia="仿宋_GB2312"/>
                <w:sz w:val="20"/>
                <w:shd w:fill="FFFFFF" w:val="clear"/>
              </w:rPr>
              <w:t>为第三级。供应商应按照《信息安全技术</w:t>
            </w:r>
            <w:r>
              <w:rPr>
                <w:rFonts w:ascii="仿宋_GB2312" w:hAnsi="仿宋_GB2312" w:cs="仿宋_GB2312" w:eastAsia="仿宋_GB2312"/>
                <w:sz w:val="20"/>
                <w:shd w:fill="FFFFFF" w:val="clear"/>
              </w:rPr>
              <w:t>网络安全等级保护基本要求》（</w:t>
            </w:r>
            <w:r>
              <w:rPr>
                <w:rFonts w:ascii="仿宋_GB2312" w:hAnsi="仿宋_GB2312" w:cs="仿宋_GB2312" w:eastAsia="仿宋_GB2312"/>
                <w:sz w:val="20"/>
                <w:shd w:fill="FFFFFF" w:val="clear"/>
              </w:rPr>
              <w:t>GB/T 22239-2019</w:t>
            </w:r>
            <w:r>
              <w:rPr>
                <w:rFonts w:ascii="仿宋_GB2312" w:hAnsi="仿宋_GB2312" w:cs="仿宋_GB2312" w:eastAsia="仿宋_GB2312"/>
                <w:sz w:val="20"/>
                <w:shd w:fill="FFFFFF" w:val="clear"/>
              </w:rPr>
              <w:t>）等相关标准，</w:t>
            </w:r>
            <w:r>
              <w:rPr>
                <w:rFonts w:ascii="仿宋_GB2312" w:hAnsi="仿宋_GB2312" w:cs="仿宋_GB2312" w:eastAsia="仿宋_GB2312"/>
                <w:shd w:fill="FFFFFF" w:val="clear"/>
              </w:rPr>
              <w:t>确保通过安全保护等级测评。</w:t>
            </w:r>
          </w:p>
          <w:p>
            <w:pPr>
              <w:pStyle w:val="null3"/>
              <w:ind w:firstLine="400"/>
              <w:jc w:val="both"/>
            </w:pPr>
            <w:r>
              <w:rPr>
                <w:rFonts w:ascii="仿宋_GB2312" w:hAnsi="仿宋_GB2312" w:cs="仿宋_GB2312" w:eastAsia="仿宋_GB2312"/>
                <w:sz w:val="20"/>
                <w:shd w:fill="FFFFFF" w:val="clear"/>
              </w:rPr>
              <w:t>密码应用：</w:t>
            </w:r>
            <w:r>
              <w:rPr>
                <w:rFonts w:ascii="仿宋_GB2312" w:hAnsi="仿宋_GB2312" w:cs="仿宋_GB2312" w:eastAsia="仿宋_GB2312"/>
                <w:sz w:val="20"/>
                <w:shd w:fill="FFFFFF" w:val="clear"/>
              </w:rPr>
              <w:t>系统需遵循《中华人民共和国密码法》《信息安全技术</w:t>
            </w:r>
            <w:r>
              <w:rPr>
                <w:rFonts w:ascii="仿宋_GB2312" w:hAnsi="仿宋_GB2312" w:cs="仿宋_GB2312" w:eastAsia="仿宋_GB2312"/>
                <w:sz w:val="20"/>
                <w:shd w:fill="FFFFFF" w:val="clear"/>
              </w:rPr>
              <w:t>信息系统密码应用基本要求》（</w:t>
            </w:r>
            <w:r>
              <w:rPr>
                <w:rFonts w:ascii="仿宋_GB2312" w:hAnsi="仿宋_GB2312" w:cs="仿宋_GB2312" w:eastAsia="仿宋_GB2312"/>
                <w:sz w:val="20"/>
                <w:shd w:fill="FFFFFF" w:val="clear"/>
              </w:rPr>
              <w:t>GB/T 39786-2021</w:t>
            </w:r>
            <w:r>
              <w:rPr>
                <w:rFonts w:ascii="仿宋_GB2312" w:hAnsi="仿宋_GB2312" w:cs="仿宋_GB2312" w:eastAsia="仿宋_GB2312"/>
                <w:sz w:val="20"/>
                <w:shd w:fill="FFFFFF" w:val="clear"/>
              </w:rPr>
              <w:t>）等规范，采用国产商用密码技术和产品，对用户身份鉴别、数据传输、数据存储等环节进行加密保护和完整性校验，确保通过密码应用安全性评估。</w:t>
            </w:r>
          </w:p>
          <w:p>
            <w:pPr>
              <w:pStyle w:val="null3"/>
              <w:ind w:firstLine="400"/>
              <w:jc w:val="both"/>
            </w:pP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系统性能要求</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迁移后的系统性能不得低于现有系统水平，并满足以下关键指标：</w:t>
            </w:r>
          </w:p>
          <w:p>
            <w:pPr>
              <w:pStyle w:val="null3"/>
              <w:ind w:firstLine="400"/>
              <w:jc w:val="both"/>
            </w:pPr>
            <w:r>
              <w:rPr>
                <w:rFonts w:ascii="仿宋_GB2312" w:hAnsi="仿宋_GB2312" w:cs="仿宋_GB2312" w:eastAsia="仿宋_GB2312"/>
                <w:sz w:val="20"/>
                <w:shd w:fill="FFFFFF" w:val="clear"/>
              </w:rPr>
              <w:t>并发性能</w:t>
            </w:r>
            <w:r>
              <w:rPr>
                <w:rFonts w:ascii="仿宋_GB2312" w:hAnsi="仿宋_GB2312" w:cs="仿宋_GB2312" w:eastAsia="仿宋_GB2312"/>
                <w:sz w:val="20"/>
                <w:shd w:fill="FFFFFF" w:val="clear"/>
              </w:rPr>
              <w:t>：系统应能支持至少</w:t>
            </w:r>
            <w:r>
              <w:rPr>
                <w:rFonts w:ascii="仿宋_GB2312" w:hAnsi="仿宋_GB2312" w:cs="仿宋_GB2312" w:eastAsia="仿宋_GB2312"/>
                <w:sz w:val="20"/>
                <w:shd w:fill="FFFFFF" w:val="clear"/>
              </w:rPr>
              <w:t>10</w:t>
            </w:r>
            <w:r>
              <w:rPr>
                <w:rFonts w:ascii="仿宋_GB2312" w:hAnsi="仿宋_GB2312" w:cs="仿宋_GB2312" w:eastAsia="仿宋_GB2312"/>
                <w:sz w:val="20"/>
                <w:shd w:fill="FFFFFF" w:val="clear"/>
              </w:rPr>
              <w:t>0</w:t>
            </w:r>
            <w:r>
              <w:rPr>
                <w:rFonts w:ascii="仿宋_GB2312" w:hAnsi="仿宋_GB2312" w:cs="仿宋_GB2312" w:eastAsia="仿宋_GB2312"/>
                <w:sz w:val="20"/>
                <w:shd w:fill="FFFFFF" w:val="clear"/>
              </w:rPr>
              <w:t>个</w:t>
            </w:r>
            <w:r>
              <w:rPr>
                <w:rFonts w:ascii="仿宋_GB2312" w:hAnsi="仿宋_GB2312" w:cs="仿宋_GB2312" w:eastAsia="仿宋_GB2312"/>
                <w:sz w:val="20"/>
                <w:shd w:fill="FFFFFF" w:val="clear"/>
              </w:rPr>
              <w:t>用户并发执行核心业务操作，未来应具备扩展至更高并发量的能力。</w:t>
            </w:r>
          </w:p>
          <w:p>
            <w:pPr>
              <w:pStyle w:val="null3"/>
              <w:ind w:firstLine="400"/>
              <w:jc w:val="both"/>
            </w:pPr>
            <w:r>
              <w:rPr>
                <w:rFonts w:ascii="仿宋_GB2312" w:hAnsi="仿宋_GB2312" w:cs="仿宋_GB2312" w:eastAsia="仿宋_GB2312"/>
                <w:sz w:val="20"/>
                <w:shd w:fill="FFFFFF" w:val="clear"/>
              </w:rPr>
              <w:t>响应时间：</w:t>
            </w:r>
          </w:p>
          <w:p>
            <w:pPr>
              <w:pStyle w:val="null3"/>
              <w:ind w:firstLine="400"/>
              <w:jc w:val="both"/>
            </w:pPr>
            <w:r>
              <w:rPr>
                <w:rFonts w:ascii="仿宋_GB2312" w:hAnsi="仿宋_GB2312" w:cs="仿宋_GB2312" w:eastAsia="仿宋_GB2312"/>
                <w:sz w:val="20"/>
                <w:shd w:fill="FFFFFF" w:val="clear"/>
              </w:rPr>
              <w:t>交互类业务（如数据录入、修改、审核提交）：</w:t>
            </w:r>
            <w:r>
              <w:rPr>
                <w:rFonts w:ascii="仿宋_GB2312" w:hAnsi="仿宋_GB2312" w:cs="仿宋_GB2312" w:eastAsia="仿宋_GB2312"/>
                <w:sz w:val="20"/>
                <w:shd w:fill="FFFFFF" w:val="clear"/>
              </w:rPr>
              <w:t>95%</w:t>
            </w:r>
            <w:r>
              <w:rPr>
                <w:rFonts w:ascii="仿宋_GB2312" w:hAnsi="仿宋_GB2312" w:cs="仿宋_GB2312" w:eastAsia="仿宋_GB2312"/>
                <w:sz w:val="20"/>
                <w:shd w:fill="FFFFFF" w:val="clear"/>
              </w:rPr>
              <w:t>以上的操作响应时间应</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秒。</w:t>
            </w:r>
          </w:p>
          <w:p>
            <w:pPr>
              <w:pStyle w:val="null3"/>
              <w:ind w:firstLine="400"/>
              <w:jc w:val="both"/>
            </w:pPr>
            <w:r>
              <w:rPr>
                <w:rFonts w:ascii="仿宋_GB2312" w:hAnsi="仿宋_GB2312" w:cs="仿宋_GB2312" w:eastAsia="仿宋_GB2312"/>
                <w:sz w:val="20"/>
                <w:shd w:fill="FFFFFF" w:val="clear"/>
              </w:rPr>
              <w:t>查询类业务（如简单条件查询）：平均响应时间</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秒。</w:t>
            </w:r>
          </w:p>
          <w:p>
            <w:pPr>
              <w:pStyle w:val="null3"/>
              <w:ind w:firstLine="400"/>
              <w:jc w:val="both"/>
            </w:pPr>
            <w:r>
              <w:rPr>
                <w:rFonts w:ascii="仿宋_GB2312" w:hAnsi="仿宋_GB2312" w:cs="仿宋_GB2312" w:eastAsia="仿宋_GB2312"/>
                <w:sz w:val="20"/>
                <w:shd w:fill="FFFFFF" w:val="clear"/>
              </w:rPr>
              <w:t>复杂报表生成与导出：根据数据量大小，响应时间应满足用户日常操作可接受范围，不得出现长时间无响应或卡顿。</w:t>
            </w:r>
          </w:p>
          <w:p>
            <w:pPr>
              <w:pStyle w:val="null3"/>
              <w:ind w:firstLine="400"/>
              <w:jc w:val="both"/>
            </w:pPr>
            <w:r>
              <w:rPr>
                <w:rFonts w:ascii="仿宋_GB2312" w:hAnsi="仿宋_GB2312" w:cs="仿宋_GB2312" w:eastAsia="仿宋_GB2312"/>
                <w:sz w:val="20"/>
                <w:shd w:fill="FFFFFF" w:val="clear"/>
              </w:rPr>
              <w:t>可靠性：</w:t>
            </w:r>
            <w:r>
              <w:rPr>
                <w:rFonts w:ascii="仿宋_GB2312" w:hAnsi="仿宋_GB2312" w:cs="仿宋_GB2312" w:eastAsia="仿宋_GB2312"/>
                <w:sz w:val="20"/>
                <w:shd w:fill="FFFFFF" w:val="clear"/>
              </w:rPr>
              <w:t>系统可用性应达到</w:t>
            </w:r>
            <w:r>
              <w:rPr>
                <w:rFonts w:ascii="仿宋_GB2312" w:hAnsi="仿宋_GB2312" w:cs="仿宋_GB2312" w:eastAsia="仿宋_GB2312"/>
                <w:sz w:val="20"/>
                <w:shd w:fill="FFFFFF" w:val="clear"/>
              </w:rPr>
              <w:t>99.9%</w:t>
            </w:r>
            <w:r>
              <w:rPr>
                <w:rFonts w:ascii="仿宋_GB2312" w:hAnsi="仿宋_GB2312" w:cs="仿宋_GB2312" w:eastAsia="仿宋_GB2312"/>
                <w:sz w:val="20"/>
                <w:shd w:fill="FFFFFF" w:val="clear"/>
              </w:rPr>
              <w:t>以上，支持</w:t>
            </w:r>
            <w:r>
              <w:rPr>
                <w:rFonts w:ascii="仿宋_GB2312" w:hAnsi="仿宋_GB2312" w:cs="仿宋_GB2312" w:eastAsia="仿宋_GB2312"/>
                <w:sz w:val="20"/>
                <w:shd w:fill="FFFFFF" w:val="clear"/>
              </w:rPr>
              <w:t>7×24</w:t>
            </w:r>
            <w:r>
              <w:rPr>
                <w:rFonts w:ascii="仿宋_GB2312" w:hAnsi="仿宋_GB2312" w:cs="仿宋_GB2312" w:eastAsia="仿宋_GB2312"/>
                <w:sz w:val="20"/>
                <w:shd w:fill="FFFFFF" w:val="clear"/>
              </w:rPr>
              <w:t>小时连续运行（计划内维护除外）。</w:t>
            </w:r>
          </w:p>
          <w:p>
            <w:pPr>
              <w:pStyle w:val="null3"/>
              <w:ind w:firstLine="400"/>
              <w:jc w:val="both"/>
            </w:pPr>
            <w:r>
              <w:rPr>
                <w:rFonts w:ascii="仿宋_GB2312" w:hAnsi="仿宋_GB2312" w:cs="仿宋_GB2312" w:eastAsia="仿宋_GB2312"/>
                <w:sz w:val="20"/>
                <w:shd w:fill="FFFFFF" w:val="clear"/>
              </w:rPr>
              <w:t>4.</w:t>
            </w:r>
            <w:r>
              <w:rPr>
                <w:rFonts w:ascii="仿宋_GB2312" w:hAnsi="仿宋_GB2312" w:cs="仿宋_GB2312" w:eastAsia="仿宋_GB2312"/>
                <w:sz w:val="20"/>
                <w:shd w:fill="FFFFFF" w:val="clear"/>
              </w:rPr>
              <w:t>运维服务要求</w:t>
            </w:r>
          </w:p>
          <w:p>
            <w:pPr>
              <w:pStyle w:val="null3"/>
              <w:ind w:firstLine="400"/>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供应商需提供平台的日常管理和维护服务，保障系统持续正常运行和数据安全。</w:t>
            </w:r>
          </w:p>
          <w:p>
            <w:pPr>
              <w:pStyle w:val="null3"/>
              <w:ind w:firstLine="400"/>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提供系统优化和数据服务，根据运行情况对系统性能进行持续调优。</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在使用过程中，如需对软件功能进行完善，属于运行维护范围内的，供应商需免费进行修改并交付；超出范围的，按需求变更流程处理。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0"/>
              <w:jc w:val="both"/>
            </w:pPr>
            <w:r>
              <w:rPr>
                <w:rFonts w:ascii="仿宋_GB2312" w:hAnsi="仿宋_GB2312" w:cs="仿宋_GB2312" w:eastAsia="仿宋_GB2312"/>
                <w:shd w:fill="FFFFFF" w:val="clear"/>
              </w:rPr>
              <w:t>技术要求</w:t>
            </w:r>
            <w:r>
              <w:rPr>
                <w:rFonts w:ascii="仿宋_GB2312" w:hAnsi="仿宋_GB2312" w:cs="仿宋_GB2312" w:eastAsia="仿宋_GB2312"/>
                <w:shd w:fill="FFFFFF" w:val="clear"/>
              </w:rPr>
              <w:t>。</w:t>
            </w:r>
            <w:r>
              <w:rPr>
                <w:rFonts w:ascii="仿宋_GB2312" w:hAnsi="仿宋_GB2312" w:cs="仿宋_GB2312" w:eastAsia="仿宋_GB2312"/>
                <w:sz w:val="20"/>
                <w:shd w:fill="FFFFFF" w:val="clear"/>
              </w:rPr>
              <w:t>为确保项目顺利实施并达到信创目标，供应商必须遵循以下技术要求：</w:t>
            </w:r>
          </w:p>
          <w:p>
            <w:pPr>
              <w:pStyle w:val="null3"/>
              <w:ind w:firstLine="400"/>
              <w:jc w:val="both"/>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运行环境</w:t>
            </w:r>
          </w:p>
          <w:p>
            <w:pPr>
              <w:pStyle w:val="null3"/>
              <w:ind w:firstLine="400"/>
              <w:jc w:val="both"/>
            </w:pPr>
            <w:r>
              <w:rPr>
                <w:rFonts w:ascii="仿宋_GB2312" w:hAnsi="仿宋_GB2312" w:cs="仿宋_GB2312" w:eastAsia="仿宋_GB2312"/>
                <w:sz w:val="20"/>
                <w:shd w:fill="FFFFFF" w:val="clear"/>
              </w:rPr>
              <w:t>部署平台：系统必须部署在陕西省信创云平台，所有基础软硬件资源均需符合信创标准。</w:t>
            </w:r>
          </w:p>
          <w:p>
            <w:pPr>
              <w:pStyle w:val="null3"/>
              <w:ind w:firstLine="400"/>
              <w:jc w:val="both"/>
            </w:pPr>
            <w:r>
              <w:rPr>
                <w:rFonts w:ascii="仿宋_GB2312" w:hAnsi="仿宋_GB2312" w:cs="仿宋_GB2312" w:eastAsia="仿宋_GB2312"/>
                <w:sz w:val="20"/>
                <w:shd w:fill="FFFFFF" w:val="clear"/>
              </w:rPr>
              <w:t>操作系统：支持主流国产化</w:t>
            </w:r>
            <w:r>
              <w:rPr>
                <w:rFonts w:ascii="仿宋_GB2312" w:hAnsi="仿宋_GB2312" w:cs="仿宋_GB2312" w:eastAsia="仿宋_GB2312"/>
                <w:sz w:val="20"/>
                <w:shd w:fill="FFFFFF" w:val="clear"/>
              </w:rPr>
              <w:t>Linux</w:t>
            </w:r>
            <w:r>
              <w:rPr>
                <w:rFonts w:ascii="仿宋_GB2312" w:hAnsi="仿宋_GB2312" w:cs="仿宋_GB2312" w:eastAsia="仿宋_GB2312"/>
                <w:sz w:val="20"/>
                <w:shd w:fill="FFFFFF" w:val="clear"/>
              </w:rPr>
              <w:t>操作系统，如银河麒麟、统信等。</w:t>
            </w:r>
          </w:p>
          <w:p>
            <w:pPr>
              <w:pStyle w:val="null3"/>
              <w:ind w:firstLine="400"/>
              <w:jc w:val="both"/>
            </w:pPr>
            <w:r>
              <w:rPr>
                <w:rFonts w:ascii="仿宋_GB2312" w:hAnsi="仿宋_GB2312" w:cs="仿宋_GB2312" w:eastAsia="仿宋_GB2312"/>
                <w:sz w:val="20"/>
                <w:shd w:fill="FFFFFF" w:val="clear"/>
              </w:rPr>
              <w:t>中间件：支持主流国产化中间件，如东方通</w:t>
            </w:r>
            <w:r>
              <w:rPr>
                <w:rFonts w:ascii="仿宋_GB2312" w:hAnsi="仿宋_GB2312" w:cs="仿宋_GB2312" w:eastAsia="仿宋_GB2312"/>
                <w:sz w:val="20"/>
                <w:shd w:fill="FFFFFF" w:val="clear"/>
              </w:rPr>
              <w:t>TongWeb</w:t>
            </w:r>
            <w:r>
              <w:rPr>
                <w:rFonts w:ascii="仿宋_GB2312" w:hAnsi="仿宋_GB2312" w:cs="仿宋_GB2312" w:eastAsia="仿宋_GB2312"/>
                <w:sz w:val="20"/>
                <w:shd w:fill="FFFFFF" w:val="clear"/>
              </w:rPr>
              <w:t>、宝兰德</w:t>
            </w:r>
            <w:r>
              <w:rPr>
                <w:rFonts w:ascii="仿宋_GB2312" w:hAnsi="仿宋_GB2312" w:cs="仿宋_GB2312" w:eastAsia="仿宋_GB2312"/>
                <w:sz w:val="20"/>
                <w:shd w:fill="FFFFFF" w:val="clear"/>
              </w:rPr>
              <w:t>BES</w:t>
            </w:r>
            <w:r>
              <w:rPr>
                <w:rFonts w:ascii="仿宋_GB2312" w:hAnsi="仿宋_GB2312" w:cs="仿宋_GB2312" w:eastAsia="仿宋_GB2312"/>
                <w:sz w:val="20"/>
                <w:shd w:fill="FFFFFF" w:val="clear"/>
              </w:rPr>
              <w:t>等。</w:t>
            </w:r>
          </w:p>
          <w:p>
            <w:pPr>
              <w:pStyle w:val="null3"/>
              <w:ind w:firstLine="400"/>
              <w:jc w:val="both"/>
            </w:pPr>
            <w:r>
              <w:rPr>
                <w:rFonts w:ascii="仿宋_GB2312" w:hAnsi="仿宋_GB2312" w:cs="仿宋_GB2312" w:eastAsia="仿宋_GB2312"/>
                <w:sz w:val="20"/>
                <w:shd w:fill="FFFFFF" w:val="clear"/>
              </w:rPr>
              <w:t>浏览器兼容性：由于用户环境多样，系统应保持对主流非信创浏览器（如</w:t>
            </w:r>
            <w:r>
              <w:rPr>
                <w:rFonts w:ascii="仿宋_GB2312" w:hAnsi="仿宋_GB2312" w:cs="仿宋_GB2312" w:eastAsia="仿宋_GB2312"/>
                <w:sz w:val="20"/>
                <w:shd w:fill="FFFFFF" w:val="clear"/>
              </w:rPr>
              <w:t>Chrome</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Edge</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360</w:t>
            </w:r>
            <w:r>
              <w:rPr>
                <w:rFonts w:ascii="仿宋_GB2312" w:hAnsi="仿宋_GB2312" w:cs="仿宋_GB2312" w:eastAsia="仿宋_GB2312"/>
                <w:sz w:val="20"/>
                <w:shd w:fill="FFFFFF" w:val="clear"/>
              </w:rPr>
              <w:t>安全浏览器）的良好兼容性，无需安装任何插件。</w:t>
            </w:r>
          </w:p>
          <w:p>
            <w:pPr>
              <w:pStyle w:val="null3"/>
              <w:ind w:firstLine="400"/>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数据源</w:t>
            </w:r>
          </w:p>
          <w:p>
            <w:pPr>
              <w:pStyle w:val="null3"/>
              <w:ind w:firstLine="400"/>
              <w:jc w:val="both"/>
            </w:pPr>
            <w:r>
              <w:rPr>
                <w:rFonts w:ascii="仿宋_GB2312" w:hAnsi="仿宋_GB2312" w:cs="仿宋_GB2312" w:eastAsia="仿宋_GB2312"/>
                <w:sz w:val="20"/>
                <w:shd w:fill="FFFFFF" w:val="clear"/>
              </w:rPr>
              <w:t>数据库：必须适配主流国产化关系型数据库，如人大金仓、达梦等。</w:t>
            </w:r>
          </w:p>
          <w:p>
            <w:pPr>
              <w:pStyle w:val="null3"/>
            </w:pPr>
            <w:r>
              <w:rPr>
                <w:rFonts w:ascii="仿宋_GB2312" w:hAnsi="仿宋_GB2312" w:cs="仿宋_GB2312" w:eastAsia="仿宋_GB2312"/>
                <w:sz w:val="20"/>
              </w:rPr>
              <w:t>开发语言与框架：系统后端基于</w:t>
            </w:r>
            <w:r>
              <w:rPr>
                <w:rFonts w:ascii="仿宋_GB2312" w:hAnsi="仿宋_GB2312" w:cs="仿宋_GB2312" w:eastAsia="仿宋_GB2312"/>
                <w:sz w:val="20"/>
              </w:rPr>
              <w:t>Java</w:t>
            </w:r>
            <w:r>
              <w:rPr>
                <w:rFonts w:ascii="仿宋_GB2312" w:hAnsi="仿宋_GB2312" w:cs="仿宋_GB2312" w:eastAsia="仿宋_GB2312"/>
                <w:sz w:val="20"/>
              </w:rPr>
              <w:t>（</w:t>
            </w:r>
            <w:r>
              <w:rPr>
                <w:rFonts w:ascii="仿宋_GB2312" w:hAnsi="仿宋_GB2312" w:cs="仿宋_GB2312" w:eastAsia="仿宋_GB2312"/>
                <w:sz w:val="20"/>
              </w:rPr>
              <w:t>JDK 1.8+</w:t>
            </w:r>
            <w:r>
              <w:rPr>
                <w:rFonts w:ascii="仿宋_GB2312" w:hAnsi="仿宋_GB2312" w:cs="仿宋_GB2312" w:eastAsia="仿宋_GB2312"/>
                <w:sz w:val="20"/>
              </w:rPr>
              <w:t>）和</w:t>
            </w:r>
            <w:r>
              <w:rPr>
                <w:rFonts w:ascii="仿宋_GB2312" w:hAnsi="仿宋_GB2312" w:cs="仿宋_GB2312" w:eastAsia="仿宋_GB2312"/>
                <w:sz w:val="20"/>
              </w:rPr>
              <w:t>Python</w:t>
            </w:r>
            <w:r>
              <w:rPr>
                <w:rFonts w:ascii="仿宋_GB2312" w:hAnsi="仿宋_GB2312" w:cs="仿宋_GB2312" w:eastAsia="仿宋_GB2312"/>
                <w:sz w:val="20"/>
              </w:rPr>
              <w:t>语言，采用</w:t>
            </w:r>
            <w:r>
              <w:rPr>
                <w:rFonts w:ascii="仿宋_GB2312" w:hAnsi="仿宋_GB2312" w:cs="仿宋_GB2312" w:eastAsia="仿宋_GB2312"/>
                <w:sz w:val="20"/>
              </w:rPr>
              <w:t>Spring Boot</w:t>
            </w:r>
            <w:r>
              <w:rPr>
                <w:rFonts w:ascii="仿宋_GB2312" w:hAnsi="仿宋_GB2312" w:cs="仿宋_GB2312" w:eastAsia="仿宋_GB2312"/>
                <w:sz w:val="20"/>
              </w:rPr>
              <w:t>框架开发；前端基于</w:t>
            </w:r>
            <w:r>
              <w:rPr>
                <w:rFonts w:ascii="仿宋_GB2312" w:hAnsi="仿宋_GB2312" w:cs="仿宋_GB2312" w:eastAsia="仿宋_GB2312"/>
                <w:sz w:val="20"/>
              </w:rPr>
              <w:t>Vue.js</w:t>
            </w:r>
            <w:r>
              <w:rPr>
                <w:rFonts w:ascii="仿宋_GB2312" w:hAnsi="仿宋_GB2312" w:cs="仿宋_GB2312" w:eastAsia="仿宋_GB2312"/>
                <w:sz w:val="20"/>
              </w:rPr>
              <w:t>框架。供应商需确保现有技术栈在信创环境下的兼容性和稳定性。</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验收要求</w:t>
            </w:r>
            <w:r>
              <w:rPr>
                <w:rFonts w:ascii="仿宋_GB2312" w:hAnsi="仿宋_GB2312" w:cs="仿宋_GB2312" w:eastAsia="仿宋_GB2312"/>
                <w:sz w:val="21"/>
              </w:rPr>
              <w:t>。</w:t>
            </w:r>
            <w:r>
              <w:rPr>
                <w:rFonts w:ascii="仿宋_GB2312" w:hAnsi="仿宋_GB2312" w:cs="仿宋_GB2312" w:eastAsia="仿宋_GB2312"/>
                <w:sz w:val="20"/>
              </w:rPr>
              <w:t>需满足陕西省政务信息化项目</w:t>
            </w:r>
            <w:r>
              <w:rPr>
                <w:rFonts w:ascii="仿宋_GB2312" w:hAnsi="仿宋_GB2312" w:cs="仿宋_GB2312" w:eastAsia="仿宋_GB2312"/>
                <w:sz w:val="21"/>
              </w:rPr>
              <w:t>竣工</w:t>
            </w:r>
            <w:r>
              <w:rPr>
                <w:rFonts w:ascii="仿宋_GB2312" w:hAnsi="仿宋_GB2312" w:cs="仿宋_GB2312" w:eastAsia="仿宋_GB2312"/>
                <w:sz w:val="20"/>
              </w:rPr>
              <w:t>验收要求。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0"/>
            </w:pPr>
            <w:r>
              <w:rPr>
                <w:rFonts w:ascii="仿宋_GB2312" w:hAnsi="仿宋_GB2312" w:cs="仿宋_GB2312" w:eastAsia="仿宋_GB2312"/>
              </w:rPr>
              <w:t>质</w:t>
            </w:r>
            <w:r>
              <w:rPr>
                <w:rFonts w:ascii="仿宋_GB2312" w:hAnsi="仿宋_GB2312" w:cs="仿宋_GB2312" w:eastAsia="仿宋_GB2312"/>
                <w:sz w:val="20"/>
              </w:rPr>
              <w:t>量保证及承诺</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质量保证</w:t>
            </w:r>
          </w:p>
          <w:p>
            <w:pPr>
              <w:pStyle w:val="null3"/>
              <w:ind w:firstLine="400"/>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成交供应商提出的实施方案与工作方法应科学、可行，资源配置合理，完全满足项目要求。</w:t>
            </w:r>
          </w:p>
          <w:p>
            <w:pPr>
              <w:pStyle w:val="null3"/>
              <w:ind w:firstLine="400"/>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供应商提供的服务，若发生侵权而产生的一切后果，由其负责。采购人保留索赔权力。</w:t>
            </w:r>
          </w:p>
          <w:p>
            <w:pPr>
              <w:pStyle w:val="null3"/>
              <w:ind w:firstLine="400"/>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供应商提供为期</w:t>
            </w:r>
            <w:r>
              <w:rPr>
                <w:rFonts w:ascii="仿宋_GB2312" w:hAnsi="仿宋_GB2312" w:cs="仿宋_GB2312" w:eastAsia="仿宋_GB2312"/>
                <w:sz w:val="20"/>
                <w:color w:val="FF0000"/>
                <w:shd w:fill="FFFFFF" w:val="clear"/>
              </w:rPr>
              <w:t>1</w:t>
            </w:r>
            <w:r>
              <w:rPr>
                <w:rFonts w:ascii="仿宋_GB2312" w:hAnsi="仿宋_GB2312" w:cs="仿宋_GB2312" w:eastAsia="仿宋_GB2312"/>
                <w:sz w:val="20"/>
                <w:color w:val="FF0000"/>
                <w:shd w:fill="FFFFFF" w:val="clear"/>
              </w:rPr>
              <w:t>年</w:t>
            </w:r>
            <w:r>
              <w:rPr>
                <w:rFonts w:ascii="仿宋_GB2312" w:hAnsi="仿宋_GB2312" w:cs="仿宋_GB2312" w:eastAsia="仿宋_GB2312"/>
                <w:sz w:val="20"/>
                <w:shd w:fill="FFFFFF" w:val="clear"/>
              </w:rPr>
              <w:t>的免费维保。</w:t>
            </w:r>
          </w:p>
          <w:p>
            <w:pPr>
              <w:pStyle w:val="null3"/>
              <w:ind w:firstLine="400"/>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售后服务</w:t>
            </w:r>
          </w:p>
          <w:p>
            <w:pPr>
              <w:pStyle w:val="null3"/>
              <w:ind w:firstLine="400"/>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技术服务支持</w:t>
            </w:r>
          </w:p>
          <w:p>
            <w:pPr>
              <w:pStyle w:val="null3"/>
              <w:ind w:firstLine="400"/>
              <w:jc w:val="both"/>
            </w:pPr>
            <w:r>
              <w:rPr>
                <w:rFonts w:ascii="仿宋_GB2312" w:hAnsi="仿宋_GB2312" w:cs="仿宋_GB2312" w:eastAsia="仿宋_GB2312"/>
                <w:sz w:val="20"/>
                <w:shd w:fill="FFFFFF" w:val="clear"/>
              </w:rPr>
              <w:t>提供快速的服务响应。服务方式包括不仅限于：预防性维护、热线电话及邮件技术支持服务、远程诊断、现场支持服务、紧急恢复服务、故障件服务、巡检服务、例行工作会议服务等。</w:t>
            </w:r>
          </w:p>
          <w:p>
            <w:pPr>
              <w:pStyle w:val="null3"/>
              <w:ind w:firstLine="400"/>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售后服务内容</w:t>
            </w:r>
          </w:p>
          <w:p>
            <w:pPr>
              <w:pStyle w:val="null3"/>
              <w:ind w:firstLine="400"/>
              <w:jc w:val="both"/>
            </w:pPr>
            <w:r>
              <w:rPr>
                <w:rFonts w:ascii="仿宋_GB2312" w:hAnsi="仿宋_GB2312" w:cs="仿宋_GB2312" w:eastAsia="仿宋_GB2312"/>
                <w:sz w:val="20"/>
                <w:shd w:fill="FFFFFF" w:val="clear"/>
              </w:rPr>
              <w:t>提供系统维护期内所需的技术保障机制，为本项目成立专门的维护和技术支持小组，提供</w:t>
            </w:r>
            <w:r>
              <w:rPr>
                <w:rFonts w:ascii="仿宋_GB2312" w:hAnsi="仿宋_GB2312" w:cs="仿宋_GB2312" w:eastAsia="仿宋_GB2312"/>
                <w:sz w:val="20"/>
                <w:shd w:fill="FFFFFF" w:val="clear"/>
              </w:rPr>
              <w:t>7*24</w:t>
            </w:r>
            <w:r>
              <w:rPr>
                <w:rFonts w:ascii="仿宋_GB2312" w:hAnsi="仿宋_GB2312" w:cs="仿宋_GB2312" w:eastAsia="仿宋_GB2312"/>
                <w:sz w:val="20"/>
                <w:shd w:fill="FFFFFF" w:val="clear"/>
              </w:rPr>
              <w:t>小时的电话、邮件等服务，在接到用户维护要求后应立即做出回应。</w:t>
            </w:r>
          </w:p>
          <w:p>
            <w:pPr>
              <w:pStyle w:val="null3"/>
              <w:ind w:firstLine="400"/>
              <w:jc w:val="both"/>
            </w:pPr>
            <w:r>
              <w:rPr>
                <w:rFonts w:ascii="仿宋_GB2312" w:hAnsi="仿宋_GB2312" w:cs="仿宋_GB2312" w:eastAsia="仿宋_GB2312"/>
                <w:sz w:val="20"/>
                <w:shd w:fill="FFFFFF" w:val="clear"/>
              </w:rPr>
              <w:t>维护期内当系统出现故障时，须在</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小时内响应并提出解决方案，</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小时内到现场对故障进行处理，若短期无法修复的，须在</w:t>
            </w: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个工作日内提出解决方案。</w:t>
            </w:r>
          </w:p>
          <w:p>
            <w:pPr>
              <w:pStyle w:val="null3"/>
              <w:ind w:left="420" w:firstLine="400"/>
              <w:jc w:val="both"/>
            </w:pPr>
            <w:r>
              <w:rPr>
                <w:rFonts w:ascii="仿宋_GB2312" w:hAnsi="仿宋_GB2312" w:cs="仿宋_GB2312" w:eastAsia="仿宋_GB2312"/>
                <w:sz w:val="20"/>
                <w:shd w:fill="FFFFFF" w:val="clear"/>
              </w:rPr>
              <w:t>为确保系统保持良好的运行状态，成交供应商应定期（每</w:t>
            </w: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个月）对系统进行一次巡检。巡视主要是系统的运行检查，工作内容如下：查看告警信息</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查看系统资源使用情况</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检查系统运行情况</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咨询承载业务使用情况</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指导和解答用户的技术问题</w:t>
            </w:r>
            <w:r>
              <w:rPr>
                <w:rFonts w:ascii="仿宋_GB2312" w:hAnsi="仿宋_GB2312" w:cs="仿宋_GB2312" w:eastAsia="仿宋_GB2312"/>
                <w:sz w:val="20"/>
                <w:shd w:fill="FFFFFF" w:val="clear"/>
              </w:rPr>
              <w:t>。</w:t>
            </w:r>
          </w:p>
          <w:p>
            <w:pPr>
              <w:pStyle w:val="null3"/>
              <w:ind w:firstLine="400"/>
              <w:jc w:val="both"/>
            </w:pPr>
            <w:r>
              <w:rPr>
                <w:rFonts w:ascii="仿宋_GB2312" w:hAnsi="仿宋_GB2312" w:cs="仿宋_GB2312" w:eastAsia="仿宋_GB2312"/>
                <w:sz w:val="20"/>
                <w:shd w:fill="FFFFFF" w:val="clear"/>
              </w:rPr>
              <w:t>每次巡检后，成交供应商须向用户提供巡检报告，提交此次巡检过程的检查记录和可能存在的安全隐患等。</w:t>
            </w:r>
          </w:p>
          <w:p>
            <w:pPr>
              <w:pStyle w:val="null3"/>
              <w:ind w:firstLine="400"/>
              <w:jc w:val="both"/>
            </w:pPr>
            <w:r>
              <w:rPr>
                <w:rFonts w:ascii="仿宋_GB2312" w:hAnsi="仿宋_GB2312" w:cs="仿宋_GB2312" w:eastAsia="仿宋_GB2312"/>
                <w:sz w:val="20"/>
                <w:shd w:fill="FFFFFF" w:val="clear"/>
              </w:rPr>
              <w:t>须提供技术培训，使用户能够基于平台提供的功能，基于实际业务需求进行使用操作。针对不同角色用户进行不同的培训，须提供充分的在线帮助，提供视频教材。</w:t>
            </w:r>
          </w:p>
          <w:p>
            <w:pPr>
              <w:pStyle w:val="null3"/>
              <w:ind w:firstLine="400"/>
              <w:jc w:val="both"/>
            </w:pPr>
            <w:r>
              <w:rPr>
                <w:rFonts w:ascii="仿宋_GB2312" w:hAnsi="仿宋_GB2312" w:cs="仿宋_GB2312" w:eastAsia="仿宋_GB2312"/>
                <w:sz w:val="20"/>
                <w:shd w:fill="FFFFFF" w:val="clear"/>
              </w:rPr>
              <w:t>培训对象：用户方管理人员、普通用户、技术人员。</w:t>
            </w:r>
          </w:p>
          <w:p>
            <w:pPr>
              <w:pStyle w:val="null3"/>
              <w:ind w:firstLine="400"/>
              <w:jc w:val="both"/>
            </w:pPr>
            <w:r>
              <w:rPr>
                <w:rFonts w:ascii="仿宋_GB2312" w:hAnsi="仿宋_GB2312" w:cs="仿宋_GB2312" w:eastAsia="仿宋_GB2312"/>
                <w:sz w:val="20"/>
                <w:shd w:fill="FFFFFF" w:val="clear"/>
              </w:rPr>
              <w:t>培训时间：具体时间与甲方商定。</w:t>
            </w:r>
          </w:p>
          <w:p>
            <w:pPr>
              <w:pStyle w:val="null3"/>
            </w:pPr>
            <w:r>
              <w:rPr>
                <w:rFonts w:ascii="仿宋_GB2312" w:hAnsi="仿宋_GB2312" w:cs="仿宋_GB2312" w:eastAsia="仿宋_GB2312"/>
                <w:sz w:val="20"/>
              </w:rPr>
              <w:t xml:space="preserve">    培训地点：具体培训地点由甲方指定。</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00"/>
            </w:pPr>
            <w:r>
              <w:rPr>
                <w:rFonts w:ascii="仿宋_GB2312" w:hAnsi="仿宋_GB2312" w:cs="仿宋_GB2312" w:eastAsia="仿宋_GB2312"/>
              </w:rPr>
              <w:t>服务人员要求</w:t>
            </w:r>
            <w:r>
              <w:rPr>
                <w:rFonts w:ascii="仿宋_GB2312" w:hAnsi="仿宋_GB2312" w:cs="仿宋_GB2312" w:eastAsia="仿宋_GB2312"/>
              </w:rPr>
              <w:t>：</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供应商须承诺：为本项目配备的服务人员总数最低不少于</w:t>
            </w:r>
            <w:r>
              <w:rPr>
                <w:rFonts w:ascii="仿宋_GB2312" w:hAnsi="仿宋_GB2312" w:cs="仿宋_GB2312" w:eastAsia="仿宋_GB2312"/>
              </w:rPr>
              <w:t>8</w:t>
            </w:r>
            <w:r>
              <w:rPr>
                <w:rFonts w:ascii="仿宋_GB2312" w:hAnsi="仿宋_GB2312" w:cs="仿宋_GB2312" w:eastAsia="仿宋_GB2312"/>
              </w:rPr>
              <w:t>人（含</w:t>
            </w:r>
            <w:r>
              <w:rPr>
                <w:rFonts w:ascii="仿宋_GB2312" w:hAnsi="仿宋_GB2312" w:cs="仿宋_GB2312" w:eastAsia="仿宋_GB2312"/>
              </w:rPr>
              <w:t>1</w:t>
            </w:r>
            <w:r>
              <w:rPr>
                <w:rFonts w:ascii="仿宋_GB2312" w:hAnsi="仿宋_GB2312" w:cs="仿宋_GB2312" w:eastAsia="仿宋_GB2312"/>
              </w:rPr>
              <w:t>名项目经理）。拟任项目经理不得同时兼任其他项目的管理岗位，且不得随意更换，如需更换则需经过采购人同意。</w:t>
            </w:r>
          </w:p>
          <w:p>
            <w:pPr>
              <w:pStyle w:val="null3"/>
              <w:ind w:firstLine="400"/>
            </w:pPr>
            <w:r>
              <w:rPr>
                <w:rFonts w:ascii="仿宋_GB2312" w:hAnsi="仿宋_GB2312" w:cs="仿宋_GB2312" w:eastAsia="仿宋_GB2312"/>
              </w:rPr>
              <w:t>2.</w:t>
            </w:r>
            <w:r>
              <w:rPr>
                <w:rFonts w:ascii="仿宋_GB2312" w:hAnsi="仿宋_GB2312" w:cs="仿宋_GB2312" w:eastAsia="仿宋_GB2312"/>
              </w:rPr>
              <w:t>人员构成：</w:t>
            </w:r>
          </w:p>
          <w:p>
            <w:pPr>
              <w:pStyle w:val="null3"/>
              <w:ind w:firstLine="40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项目</w:t>
            </w:r>
            <w:r>
              <w:rPr>
                <w:rFonts w:ascii="仿宋_GB2312" w:hAnsi="仿宋_GB2312" w:cs="仿宋_GB2312" w:eastAsia="仿宋_GB2312"/>
              </w:rPr>
              <w:t>负责人</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人）：具有类似项目工作经验，具有信息系统项目管理师证书。</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其他成员（至少</w:t>
            </w:r>
            <w:r>
              <w:rPr>
                <w:rFonts w:ascii="仿宋_GB2312" w:hAnsi="仿宋_GB2312" w:cs="仿宋_GB2312" w:eastAsia="仿宋_GB2312"/>
                <w:sz w:val="21"/>
              </w:rPr>
              <w:t>7</w:t>
            </w:r>
            <w:r>
              <w:rPr>
                <w:rFonts w:ascii="仿宋_GB2312" w:hAnsi="仿宋_GB2312" w:cs="仿宋_GB2312" w:eastAsia="仿宋_GB2312"/>
                <w:sz w:val="21"/>
              </w:rPr>
              <w:t>人）：投标人拟安排的项目团队主要成员具有</w:t>
            </w:r>
            <w:r>
              <w:rPr>
                <w:rFonts w:ascii="仿宋_GB2312" w:hAnsi="仿宋_GB2312" w:cs="仿宋_GB2312" w:eastAsia="仿宋_GB2312"/>
                <w:sz w:val="21"/>
              </w:rPr>
              <w:t>IT</w:t>
            </w:r>
            <w:r>
              <w:rPr>
                <w:rFonts w:ascii="仿宋_GB2312" w:hAnsi="仿宋_GB2312" w:cs="仿宋_GB2312" w:eastAsia="仿宋_GB2312"/>
                <w:sz w:val="21"/>
              </w:rPr>
              <w:t>服务项目经理证书</w:t>
            </w:r>
            <w:r>
              <w:rPr>
                <w:rFonts w:ascii="仿宋_GB2312" w:hAnsi="仿宋_GB2312" w:cs="仿宋_GB2312" w:eastAsia="仿宋_GB2312"/>
                <w:sz w:val="21"/>
              </w:rPr>
              <w:t>、</w:t>
            </w:r>
            <w:r>
              <w:rPr>
                <w:rFonts w:ascii="仿宋_GB2312" w:hAnsi="仿宋_GB2312" w:cs="仿宋_GB2312" w:eastAsia="仿宋_GB2312"/>
                <w:sz w:val="21"/>
              </w:rPr>
              <w:t>PMP</w:t>
            </w:r>
            <w:r>
              <w:rPr>
                <w:rFonts w:ascii="仿宋_GB2312" w:hAnsi="仿宋_GB2312" w:cs="仿宋_GB2312" w:eastAsia="仿宋_GB2312"/>
                <w:sz w:val="21"/>
              </w:rPr>
              <w:t>项目管理专业人员证书、</w:t>
            </w:r>
            <w:r>
              <w:rPr>
                <w:rFonts w:ascii="仿宋_GB2312" w:hAnsi="仿宋_GB2312" w:cs="仿宋_GB2312" w:eastAsia="仿宋_GB2312"/>
                <w:sz w:val="21"/>
              </w:rPr>
              <w:t>软件</w:t>
            </w:r>
            <w:r>
              <w:rPr>
                <w:rFonts w:ascii="仿宋_GB2312" w:hAnsi="仿宋_GB2312" w:cs="仿宋_GB2312" w:eastAsia="仿宋_GB2312"/>
                <w:sz w:val="21"/>
              </w:rPr>
              <w:t>设计师证书、注册信息安全人员（</w:t>
            </w:r>
            <w:r>
              <w:rPr>
                <w:rFonts w:ascii="仿宋_GB2312" w:hAnsi="仿宋_GB2312" w:cs="仿宋_GB2312" w:eastAsia="仿宋_GB2312"/>
                <w:sz w:val="21"/>
              </w:rPr>
              <w:t>CISP</w:t>
            </w:r>
            <w:r>
              <w:rPr>
                <w:rFonts w:ascii="仿宋_GB2312" w:hAnsi="仿宋_GB2312" w:cs="仿宋_GB2312" w:eastAsia="仿宋_GB2312"/>
                <w:sz w:val="21"/>
              </w:rPr>
              <w:t>）。（须提供证书复印件或扫描件；同一人的多份证书只计一</w:t>
            </w:r>
            <w:r>
              <w:rPr>
                <w:rFonts w:ascii="仿宋_GB2312" w:hAnsi="仿宋_GB2312" w:cs="仿宋_GB2312" w:eastAsia="仿宋_GB2312"/>
                <w:sz w:val="21"/>
              </w:rPr>
              <w:t>分</w:t>
            </w:r>
            <w:r>
              <w:rPr>
                <w:rFonts w:ascii="仿宋_GB2312" w:hAnsi="仿宋_GB2312" w:cs="仿宋_GB2312" w:eastAsia="仿宋_GB2312"/>
                <w:sz w:val="21"/>
              </w:rPr>
              <w:t>；提供持证人员在投标单位的近</w:t>
            </w:r>
            <w:r>
              <w:rPr>
                <w:rFonts w:ascii="仿宋_GB2312" w:hAnsi="仿宋_GB2312" w:cs="仿宋_GB2312" w:eastAsia="仿宋_GB2312"/>
                <w:sz w:val="21"/>
              </w:rPr>
              <w:t>3</w:t>
            </w:r>
            <w:r>
              <w:rPr>
                <w:rFonts w:ascii="仿宋_GB2312" w:hAnsi="仿宋_GB2312" w:cs="仿宋_GB2312" w:eastAsia="仿宋_GB2312"/>
                <w:sz w:val="21"/>
              </w:rPr>
              <w:t>个月社保缴纳记录，在资格证明部分提供了上述人员社保的不需再次提供；材料提供不齐全或不提供不得分。）项目团队人数应满足本项目的要求，搭配合理，分工明确，便于本项目所有服务内容的有效开展。</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执行标准</w:t>
            </w:r>
            <w:r>
              <w:rPr>
                <w:rFonts w:ascii="仿宋_GB2312" w:hAnsi="仿宋_GB2312" w:cs="仿宋_GB2312" w:eastAsia="仿宋_GB2312"/>
                <w:sz w:val="21"/>
              </w:rPr>
              <w:t>。</w:t>
            </w:r>
            <w:r>
              <w:rPr>
                <w:rFonts w:ascii="仿宋_GB2312" w:hAnsi="仿宋_GB2312" w:cs="仿宋_GB2312" w:eastAsia="仿宋_GB2312"/>
                <w:sz w:val="21"/>
              </w:rPr>
              <w:t>按照国家及行业最新标准执行。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服务范围</w:t>
            </w:r>
            <w:r>
              <w:rPr>
                <w:rFonts w:ascii="仿宋_GB2312" w:hAnsi="仿宋_GB2312" w:cs="仿宋_GB2312" w:eastAsia="仿宋_GB2312"/>
                <w:sz w:val="21"/>
              </w:rPr>
              <w:t>。</w:t>
            </w:r>
            <w:r>
              <w:rPr>
                <w:rFonts w:ascii="仿宋_GB2312" w:hAnsi="仿宋_GB2312" w:cs="仿宋_GB2312" w:eastAsia="仿宋_GB2312"/>
                <w:sz w:val="21"/>
              </w:rPr>
              <w:t>监理单位根据批准后的项目设计方案，协助建设单位建立项目启动、项目执行、项目验收等全过程的项目管理体系，分析项目的建设任务和特点，提供包括但不限于质量控制、进度控制、投资控制、变更控制、合同管理、文档管理、安全管理及组织协调等全过程的监理服务，以支持项目各阶段建设目标的顺利实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rPr>
              <w:t>1.</w:t>
            </w:r>
            <w:r>
              <w:rPr>
                <w:rFonts w:ascii="仿宋_GB2312" w:hAnsi="仿宋_GB2312" w:cs="仿宋_GB2312" w:eastAsia="仿宋_GB2312"/>
              </w:rPr>
              <w:t>服务要求</w:t>
            </w:r>
            <w:r>
              <w:rPr>
                <w:rFonts w:ascii="仿宋_GB2312" w:hAnsi="仿宋_GB2312" w:cs="仿宋_GB2312" w:eastAsia="仿宋_GB2312"/>
              </w:rPr>
              <w:t>。</w:t>
            </w:r>
            <w:r>
              <w:rPr>
                <w:rFonts w:ascii="仿宋_GB2312" w:hAnsi="仿宋_GB2312" w:cs="仿宋_GB2312" w:eastAsia="仿宋_GB2312"/>
              </w:rPr>
              <w:t>通过监理工作，确保项目在计划周期内按质、按量完成建设任务，全面实现项目建设目标。同时，依据承建单位合同、相关协议、建设单位实际需求及现行标准规范，在项目执行过程中，协调承建单位、第三方审计单位、第三方软件评测单位、网络安全等级保护测评单位、密码应用安全性评估单位的各项工作，协助甲方完成项目验收工作。</w:t>
            </w:r>
            <w:r>
              <w:rPr>
                <w:rFonts w:ascii="仿宋_GB2312" w:hAnsi="仿宋_GB2312" w:cs="仿宋_GB2312" w:eastAsia="仿宋_GB2312"/>
              </w:rPr>
              <w:t>服务内容</w:t>
            </w:r>
            <w:r>
              <w:rPr>
                <w:rFonts w:ascii="仿宋_GB2312" w:hAnsi="仿宋_GB2312" w:cs="仿宋_GB2312" w:eastAsia="仿宋_GB2312"/>
              </w:rPr>
              <w:t>如下。</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质量控制</w:t>
            </w:r>
            <w:r>
              <w:rPr>
                <w:rFonts w:ascii="仿宋_GB2312" w:hAnsi="仿宋_GB2312" w:cs="仿宋_GB2312" w:eastAsia="仿宋_GB2312"/>
              </w:rPr>
              <w:t>。</w:t>
            </w:r>
            <w:r>
              <w:rPr>
                <w:rFonts w:ascii="仿宋_GB2312" w:hAnsi="仿宋_GB2312" w:cs="仿宋_GB2312" w:eastAsia="仿宋_GB2312"/>
              </w:rPr>
              <w:t>协助建设单位开展工程质量控制工作，包括但不限于以下工作</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协助建设单位对项目承建方提出的项目总体实施方案、概要设计方案、详细设计方案、系统实施部署方案、集成方案、测试方案、验收方案、里程碑节点设置计划等进行审核，对软硬件集成和系统部署实施等过程资料进行审查，并以书面形式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协助建设单位做好项目集成方案和项目各子系统设计方案的审核和确认，并以书面形式提出监理意见；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在实施过程中确定质量控制基线，全程、实时地参与项目建设，检查、督促承建方严格按合同和施工规范、保密标准、相关技术标准、设计要求实施，监督承建方现场施工管理，特别注重关键节点、重要质量控制点及隐蔽性工程的现场监督；</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监督工程中所使用的产品和服务符合承建合同及国家相关法律法规和标准，做好货物及服务验收工作，审查承建方采购清单，检查项目使用材料、设备的规格型号、配置、质量与数量；负责对采购的硬件设备和软件产品的合格证、检测报告和准用证进行审查，对采购的各类设备及建成的系统进行符合性测试，进行逐项验收并出具验收报告；</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协助建设单位对设备安装、系统软件的安装调试和应用系统的部署组织验收，并以书面形式提出监理意见；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监督项目承建方的系统集成工作，并以书面形式提出监理意见；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负责审核项目承建方、第三方软件测评机构提交的应用系统测试方案（计划）和报告，保证测试方案和报告的有效性和对功能点、各项验收指标的覆盖，并以书面形式提出监理意见；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负责监督项目承建方对应用系统进行测试工作，对测试报告内容进行检查，并审查部分测试结果，直至测试合格，并以书面形式提出监理意见；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协助建设单位组织竣工总体验收，协助建设单位进行竣工验收完毕进入质保阶段的审核。</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进度控制</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审核承建方的进度分解计划，确认分解计划可以保证总体计划目标；</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对项目实施进度进行实时跟踪，并要求承建方按项目总进度计划进行动态调整，以确保项目的阶段目标和总体进度目标的实现；</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配合建设单位对项目实施过程中发生的需求变更进行分析、管理和认定，以确保项目的阶段目标和总体进度目标的实现；</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当工期目标发生偏离或出现风险时，应在</w:t>
            </w:r>
            <w:r>
              <w:rPr>
                <w:rFonts w:ascii="仿宋_GB2312" w:hAnsi="仿宋_GB2312" w:cs="仿宋_GB2312" w:eastAsia="仿宋_GB2312"/>
              </w:rPr>
              <w:t>24</w:t>
            </w:r>
            <w:r>
              <w:rPr>
                <w:rFonts w:ascii="仿宋_GB2312" w:hAnsi="仿宋_GB2312" w:cs="仿宋_GB2312" w:eastAsia="仿宋_GB2312"/>
              </w:rPr>
              <w:t>小时内指出，并提出对策建议，同时督促承建方</w:t>
            </w:r>
            <w:r>
              <w:rPr>
                <w:rFonts w:ascii="仿宋_GB2312" w:hAnsi="仿宋_GB2312" w:cs="仿宋_GB2312" w:eastAsia="仿宋_GB2312"/>
              </w:rPr>
              <w:t>48</w:t>
            </w:r>
            <w:r>
              <w:rPr>
                <w:rFonts w:ascii="仿宋_GB2312" w:hAnsi="仿宋_GB2312" w:cs="仿宋_GB2312" w:eastAsia="仿宋_GB2312"/>
              </w:rPr>
              <w:t>小时内采取措施。</w:t>
            </w:r>
          </w:p>
          <w:p>
            <w:pPr>
              <w:pStyle w:val="null3"/>
              <w:ind w:firstLine="400"/>
              <w:jc w:val="both"/>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投资</w:t>
            </w:r>
            <w:r>
              <w:rPr>
                <w:rFonts w:ascii="仿宋_GB2312" w:hAnsi="仿宋_GB2312" w:cs="仿宋_GB2312" w:eastAsia="仿宋_GB2312"/>
              </w:rPr>
              <w:t>控制</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）对项目实施中的设计优化方案或措施进行评审，对项目建设不可预见性造成风险性支出进行技术性审核，提出意见，确保成本不超过建设项目中标金额的</w:t>
            </w:r>
            <w:r>
              <w:rPr>
                <w:rFonts w:ascii="仿宋_GB2312" w:hAnsi="仿宋_GB2312" w:cs="仿宋_GB2312" w:eastAsia="仿宋_GB2312"/>
              </w:rPr>
              <w:t>10%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）对因项目变更导致的费用变化进行审查；</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）协助建设单位做好项目进度付款前的项目完成量确认。</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变更控制</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）建立符合本次项目实施及管理的变更管理机制，通过变更控制机制对项目计划、流程、预算、进度或可交付成果的变更申请进行评估，书面出具是否同意进行的变更审查意见；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）通过对项目计划、费用、质量和进度的影响进行分析，对变更风险以及变更效果进行定性定价预测，列出风险清单和变更效果预测数据，审核变更方案，提出监理意见；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）配合建设单位和承建方完善及妥善保管有关的变更记录。</w:t>
            </w:r>
          </w:p>
          <w:p>
            <w:pPr>
              <w:pStyle w:val="null3"/>
              <w:ind w:firstLine="400"/>
              <w:jc w:val="both"/>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合同管理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）合同签订管理，协助建设单位审核合同条款，提出监理意见。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）合同执行管理</w:t>
            </w:r>
          </w:p>
          <w:p>
            <w:pPr>
              <w:pStyle w:val="null3"/>
              <w:ind w:firstLine="400"/>
              <w:jc w:val="both"/>
            </w:pPr>
            <w:r>
              <w:rPr>
                <w:rFonts w:ascii="仿宋_GB2312" w:hAnsi="仿宋_GB2312" w:cs="仿宋_GB2312" w:eastAsia="仿宋_GB2312"/>
              </w:rPr>
              <w:t>①</w:t>
            </w:r>
            <w:r>
              <w:rPr>
                <w:rFonts w:ascii="仿宋_GB2312" w:hAnsi="仿宋_GB2312" w:cs="仿宋_GB2312" w:eastAsia="仿宋_GB2312"/>
              </w:rPr>
              <w:t>跟踪检查合同的执行情况，监督承建方按合同约定履约；</w:t>
            </w:r>
          </w:p>
          <w:p>
            <w:pPr>
              <w:pStyle w:val="null3"/>
              <w:ind w:firstLine="400"/>
              <w:jc w:val="both"/>
            </w:pPr>
            <w:r>
              <w:rPr>
                <w:rFonts w:ascii="仿宋_GB2312" w:hAnsi="仿宋_GB2312" w:cs="仿宋_GB2312" w:eastAsia="仿宋_GB2312"/>
              </w:rPr>
              <w:t>②</w:t>
            </w:r>
            <w:r>
              <w:rPr>
                <w:rFonts w:ascii="仿宋_GB2312" w:hAnsi="仿宋_GB2312" w:cs="仿宋_GB2312" w:eastAsia="仿宋_GB2312"/>
              </w:rPr>
              <w:t>对合同工期的延误和延期进行审核确认；</w:t>
            </w:r>
          </w:p>
          <w:p>
            <w:pPr>
              <w:pStyle w:val="null3"/>
              <w:ind w:firstLine="400"/>
              <w:jc w:val="both"/>
            </w:pPr>
            <w:r>
              <w:rPr>
                <w:rFonts w:ascii="仿宋_GB2312" w:hAnsi="仿宋_GB2312" w:cs="仿宋_GB2312" w:eastAsia="仿宋_GB2312"/>
              </w:rPr>
              <w:t>③</w:t>
            </w:r>
            <w:r>
              <w:rPr>
                <w:rFonts w:ascii="仿宋_GB2312" w:hAnsi="仿宋_GB2312" w:cs="仿宋_GB2312" w:eastAsia="仿宋_GB2312"/>
              </w:rPr>
              <w:t>对合同变更、索赔等事宜进行审核确认；</w:t>
            </w:r>
          </w:p>
          <w:p>
            <w:pPr>
              <w:pStyle w:val="null3"/>
              <w:ind w:firstLine="400"/>
              <w:jc w:val="both"/>
            </w:pPr>
            <w:r>
              <w:rPr>
                <w:rFonts w:ascii="仿宋_GB2312" w:hAnsi="仿宋_GB2312" w:cs="仿宋_GB2312" w:eastAsia="仿宋_GB2312"/>
              </w:rPr>
              <w:t>④</w:t>
            </w:r>
            <w:r>
              <w:rPr>
                <w:rFonts w:ascii="仿宋_GB2312" w:hAnsi="仿宋_GB2312" w:cs="仿宋_GB2312" w:eastAsia="仿宋_GB2312"/>
              </w:rPr>
              <w:t>根据合同约定，鉴定违约事件。</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）合同档案管理，制定合同会签制度、合同交底制度等，对合同、相关附件、补充协议等文件进行管理。</w:t>
            </w:r>
          </w:p>
          <w:p>
            <w:pPr>
              <w:pStyle w:val="null3"/>
              <w:ind w:firstLine="400"/>
              <w:jc w:val="both"/>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文档管理</w:t>
            </w:r>
            <w:r>
              <w:rPr>
                <w:rFonts w:ascii="仿宋_GB2312" w:hAnsi="仿宋_GB2312" w:cs="仿宋_GB2312" w:eastAsia="仿宋_GB2312"/>
              </w:rPr>
              <w:t>。</w:t>
            </w:r>
            <w:r>
              <w:rPr>
                <w:rFonts w:ascii="仿宋_GB2312" w:hAnsi="仿宋_GB2312" w:cs="仿宋_GB2312" w:eastAsia="仿宋_GB2312"/>
              </w:rPr>
              <w:t>监理单位负责对建设项目各承建方文档的收集、汇总、审核及管理工作，为各时间节点的成果确认及整体工程竣工验收提供最终依据，包括但不限于以下工作内容：</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）制订文档管理制度和流程、文档编制规范及项目各类文档模板；</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）在项目实施过程中做好项目文档的收集、管理工作等，项目文档包括不限于纸质文件、电子文件等；</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）督促承建方做好对所建项目文档的收集、整理和保管工作，确保承建单位所提供的项目各阶段形成的技术、管理文档的内容和种类符合相关标准；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）做好监理记录及项目大事记；</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）做好项目合同、技术方案、测试文档、验收报告、来往文档等各类文件收集、存档以及移交工作；</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）做好项目专题会、项目例会等会议纪要；</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）完善项目周报，阶段性项目总结等相关资料；</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）做好文档的版本控制。</w:t>
            </w:r>
          </w:p>
          <w:p>
            <w:pPr>
              <w:pStyle w:val="null3"/>
              <w:ind w:firstLine="400"/>
              <w:jc w:val="both"/>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安全管理</w:t>
            </w:r>
            <w:r>
              <w:rPr>
                <w:rFonts w:ascii="仿宋_GB2312" w:hAnsi="仿宋_GB2312" w:cs="仿宋_GB2312" w:eastAsia="仿宋_GB2312"/>
              </w:rPr>
              <w:t>。</w:t>
            </w:r>
            <w:r>
              <w:rPr>
                <w:rFonts w:ascii="仿宋_GB2312" w:hAnsi="仿宋_GB2312" w:cs="仿宋_GB2312" w:eastAsia="仿宋_GB2312"/>
              </w:rPr>
              <w:t>协助建设单位开展工程安全管理工作，包括但不限于以下工作：</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）协助建设单位明确工程的安全要求，协助编制安全管理制度；</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）促使建设单位、承建方所签订的合同中与安全相关的条款在技术、经济上有效；</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）审核优化承建单位的项目安全性设计方案，重点加强对实施方案中安全性、合法性、合理性、功能性的审查；</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）监督承建单位建设过程满足招投标及合同中提出的安全要求，并与安全设计方案、工程计划相符，监督承建方在国家信息系统安全等级保护（</w:t>
            </w:r>
            <w:r>
              <w:rPr>
                <w:rFonts w:ascii="仿宋_GB2312" w:hAnsi="仿宋_GB2312" w:cs="仿宋_GB2312" w:eastAsia="仿宋_GB2312"/>
              </w:rPr>
              <w:t>2.0</w:t>
            </w:r>
            <w:r>
              <w:rPr>
                <w:rFonts w:ascii="仿宋_GB2312" w:hAnsi="仿宋_GB2312" w:cs="仿宋_GB2312" w:eastAsia="仿宋_GB2312"/>
              </w:rPr>
              <w:t>标准）的框架内安全实施；</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）督促承建方做好自身的信息安全和实施安全管理工作，并检查其具体工作的实施；</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）协助对发生的安全问题进行处置。</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需求管理</w:t>
            </w:r>
          </w:p>
          <w:p>
            <w:pPr>
              <w:pStyle w:val="null3"/>
              <w:ind w:firstLine="409"/>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）按招标文件、投标文件、技术协议、项目需求规格说明书及项目过程中的实际需求，进行需求核对，整理需求跟踪矩阵。</w:t>
            </w:r>
          </w:p>
          <w:p>
            <w:pPr>
              <w:pStyle w:val="null3"/>
              <w:ind w:firstLine="39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sz w:val="21"/>
              </w:rPr>
              <w:t>根据需求跟踪矩阵组织需求验证、确认工作，确保系统功能满足用户需求。</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项目测试管理</w:t>
            </w:r>
          </w:p>
          <w:p>
            <w:pPr>
              <w:pStyle w:val="null3"/>
              <w:ind w:firstLine="39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）协助招标人制定项目测试管理制度，明确各阶段测试任务。</w:t>
            </w:r>
          </w:p>
          <w:p>
            <w:pPr>
              <w:pStyle w:val="null3"/>
              <w:ind w:firstLine="39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rPr>
              <w:t>审核功能、性能及安全测试等《测试方案》、《测试计划》、《测试用例》、《测试报告》的完整性、有效性，并提出监理意见。</w:t>
            </w:r>
          </w:p>
          <w:p>
            <w:pPr>
              <w:pStyle w:val="null3"/>
              <w:ind w:firstLine="39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rPr>
              <w:t>进行监理功能测试、提交监理测试报告。</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项目验收管理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各项目验收阶段审查承建单位的各系统测试（自检）报告、验收测试方案和系统初验申请，并确认是否具备验收测试和初验条件。审查承建单位提交的项目文档和软、硬件产品，审查试运行过程记录和试运行报告，跟踪并监督承建单位及时整改系统验收测试和初验发现的问题和不合理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1"/>
              </w:rPr>
              <w:t>协助甲方做好项目验收，按照承建单位合同、协议及实际需求、现行标准规范等要求严把验收关，并对签署的意见负责。</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组织协调</w:t>
            </w:r>
          </w:p>
          <w:p>
            <w:pPr>
              <w:pStyle w:val="null3"/>
            </w:pPr>
            <w:r>
              <w:rPr>
                <w:rFonts w:ascii="仿宋_GB2312" w:hAnsi="仿宋_GB2312" w:cs="仿宋_GB2312" w:eastAsia="仿宋_GB2312"/>
                <w:sz w:val="21"/>
              </w:rPr>
              <w:t>负责协调本项目所涉及的各方之间的工作关系，并协调解决项目建设过程中的各类纠纷。监理单位应该通过口头沟通、书面沟通、必要的会议制度来实施协调工作。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服务标准</w:t>
            </w:r>
            <w:r>
              <w:rPr>
                <w:rFonts w:ascii="仿宋_GB2312" w:hAnsi="仿宋_GB2312" w:cs="仿宋_GB2312" w:eastAsia="仿宋_GB2312"/>
                <w:sz w:val="21"/>
                <w:color w:val="000000"/>
              </w:rPr>
              <w:t>。</w:t>
            </w:r>
            <w:r>
              <w:rPr>
                <w:rFonts w:ascii="仿宋_GB2312" w:hAnsi="仿宋_GB2312" w:cs="仿宋_GB2312" w:eastAsia="仿宋_GB2312"/>
                <w:sz w:val="21"/>
              </w:rPr>
              <w:t>监理工作依据《国家政务信息化项目建设管理办法》等法规和标准，对本项目实施全过程监理，确保质量控制、成本控制、进度控制和变更控制。督促中标人落实安全管理目标，整理归档资料，并提供咨询意见和周报。监理内容涵盖需求调研、设计、采购、开发、集成、培训、试运行、验收等各环节。监理单位应采用适合项目的管理技巧，全面控制质量、成本、进度和变更，负责合同和信息管理，协助安全保密管理，全过程监督协调。目标是确保项目履约验收合格，按期完成，投资控制在预算内，并保障实施和信息安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服务期限</w:t>
            </w:r>
            <w:r>
              <w:rPr>
                <w:rFonts w:ascii="仿宋_GB2312" w:hAnsi="仿宋_GB2312" w:cs="仿宋_GB2312" w:eastAsia="仿宋_GB2312"/>
                <w:sz w:val="21"/>
              </w:rPr>
              <w:t>。</w:t>
            </w:r>
            <w:r>
              <w:rPr>
                <w:rFonts w:ascii="仿宋_GB2312" w:hAnsi="仿宋_GB2312" w:cs="仿宋_GB2312" w:eastAsia="仿宋_GB2312"/>
                <w:sz w:val="21"/>
              </w:rPr>
              <w:t>合同签订后至整个项目验收交付完成。</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0"/>
              <w:jc w:val="both"/>
            </w:pPr>
            <w:r>
              <w:rPr>
                <w:rFonts w:ascii="仿宋_GB2312" w:hAnsi="仿宋_GB2312" w:cs="仿宋_GB2312" w:eastAsia="仿宋_GB2312"/>
                <w:color w:val="000000"/>
              </w:rPr>
              <w:t>服务人员数量及组成：</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专业技术要求</w:t>
            </w:r>
            <w:r>
              <w:rPr>
                <w:rFonts w:ascii="仿宋_GB2312" w:hAnsi="仿宋_GB2312" w:cs="仿宋_GB2312" w:eastAsia="仿宋_GB2312"/>
              </w:rPr>
              <w:t>。</w:t>
            </w:r>
            <w:r>
              <w:rPr>
                <w:rFonts w:ascii="仿宋_GB2312" w:hAnsi="仿宋_GB2312" w:cs="仿宋_GB2312" w:eastAsia="仿宋_GB2312"/>
              </w:rPr>
              <w:t>监理人员应具备计算机科学与技术、信息系统工程等相关专业背景知识。对于软件开发项目，监理人员需要了解软件开发生命周期各阶段的工作内容，包括需求分析、设计、编码、测试等环节的关键技术和质量控制点。应掌握项目管理知识，包括项目的范围管理、时间管理、成本管理、质量管理、人力资源管理、沟通管理、风险管理和采购管理等九大知识领域。能够运用项目管理工具和技术，如甘特图、关键路径法（</w:t>
            </w:r>
            <w:r>
              <w:rPr>
                <w:rFonts w:ascii="仿宋_GB2312" w:hAnsi="仿宋_GB2312" w:cs="仿宋_GB2312" w:eastAsia="仿宋_GB2312"/>
              </w:rPr>
              <w:t>CPM</w:t>
            </w:r>
            <w:r>
              <w:rPr>
                <w:rFonts w:ascii="仿宋_GB2312" w:hAnsi="仿宋_GB2312" w:cs="仿宋_GB2312" w:eastAsia="仿宋_GB2312"/>
              </w:rPr>
              <w:t>）等来监督和控制项目进度。具备一定的信息安全知识，因为信息化项目涉及大量的数据存储、传输和处理。监理人员要了解数据加密技术、访问控制技术、网络安全防护技术等，确保项目在信息安全方面符合相关标准和要求。</w:t>
            </w:r>
          </w:p>
          <w:p>
            <w:pPr>
              <w:pStyle w:val="null3"/>
            </w:pPr>
            <w:r>
              <w:rPr>
                <w:rFonts w:ascii="仿宋_GB2312" w:hAnsi="仿宋_GB2312" w:cs="仿宋_GB2312" w:eastAsia="仿宋_GB2312"/>
                <w:sz w:val="21"/>
              </w:rPr>
              <w:t>2.</w:t>
            </w:r>
            <w:r>
              <w:rPr>
                <w:rFonts w:ascii="仿宋_GB2312" w:hAnsi="仿宋_GB2312" w:cs="仿宋_GB2312" w:eastAsia="仿宋_GB2312"/>
                <w:sz w:val="21"/>
              </w:rPr>
              <w:t>沟通协调能力</w:t>
            </w:r>
            <w:r>
              <w:rPr>
                <w:rFonts w:ascii="仿宋_GB2312" w:hAnsi="仿宋_GB2312" w:cs="仿宋_GB2312" w:eastAsia="仿宋_GB2312"/>
                <w:sz w:val="21"/>
              </w:rPr>
              <w:t>。</w:t>
            </w:r>
            <w:r>
              <w:rPr>
                <w:rFonts w:ascii="仿宋_GB2312" w:hAnsi="仿宋_GB2312" w:cs="仿宋_GB2312" w:eastAsia="仿宋_GB2312"/>
                <w:sz w:val="21"/>
              </w:rPr>
              <w:t>监理人员要能够与建设单位（业主）、承建单位（软件开发商、系统集成商等）和其他相关单位进行有效的沟通。能够协调各方关系，解决项目中的冲突。当建设单位和承建单位在项目范围、进度、质量等方面出现分歧时，监理人员要公正地进行协调，促使双方达成共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服务事项的验收（考核）标准</w:t>
            </w:r>
            <w:r>
              <w:rPr>
                <w:rFonts w:ascii="仿宋_GB2312" w:hAnsi="仿宋_GB2312" w:cs="仿宋_GB2312" w:eastAsia="仿宋_GB2312"/>
                <w:sz w:val="21"/>
              </w:rPr>
              <w:t>。</w:t>
            </w:r>
            <w:r>
              <w:rPr>
                <w:rFonts w:ascii="仿宋_GB2312" w:hAnsi="仿宋_GB2312" w:cs="仿宋_GB2312" w:eastAsia="仿宋_GB2312"/>
                <w:sz w:val="21"/>
              </w:rPr>
              <w:t>按陕政数据〔</w:t>
            </w:r>
            <w:r>
              <w:rPr>
                <w:rFonts w:ascii="仿宋_GB2312" w:hAnsi="仿宋_GB2312" w:cs="仿宋_GB2312" w:eastAsia="仿宋_GB2312"/>
                <w:sz w:val="21"/>
              </w:rPr>
              <w:t>2023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号文关于印发省级政务信息化项目竣工验收管理办法（试行）的要求执行。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标的名称：第三方审计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服务范围</w:t>
            </w:r>
            <w:r>
              <w:rPr>
                <w:rFonts w:ascii="仿宋_GB2312" w:hAnsi="仿宋_GB2312" w:cs="仿宋_GB2312" w:eastAsia="仿宋_GB2312"/>
                <w:sz w:val="21"/>
              </w:rPr>
              <w:t>。</w:t>
            </w:r>
            <w:r>
              <w:rPr>
                <w:rFonts w:ascii="仿宋_GB2312" w:hAnsi="仿宋_GB2312" w:cs="仿宋_GB2312" w:eastAsia="仿宋_GB2312"/>
                <w:sz w:val="21"/>
              </w:rPr>
              <w:t>根据相关质量标准，针对</w:t>
            </w:r>
            <w:r>
              <w:rPr>
                <w:rFonts w:ascii="仿宋_GB2312" w:hAnsi="仿宋_GB2312" w:cs="仿宋_GB2312" w:eastAsia="仿宋_GB2312"/>
                <w:sz w:val="21"/>
              </w:rPr>
              <w:t>陕西省成本调查监审工作平台信创适配迁移项目</w:t>
            </w:r>
            <w:r>
              <w:rPr>
                <w:rFonts w:ascii="仿宋_GB2312" w:hAnsi="仿宋_GB2312" w:cs="仿宋_GB2312" w:eastAsia="仿宋_GB2312"/>
                <w:sz w:val="21"/>
              </w:rPr>
              <w:t>进行第三方审计服务，包括工程造价结算审核和竣工财务决算审计工作。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服务内容</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）工程造价结算审核</w:t>
            </w:r>
            <w:r>
              <w:rPr>
                <w:rFonts w:ascii="仿宋_GB2312" w:hAnsi="仿宋_GB2312" w:cs="仿宋_GB2312" w:eastAsia="仿宋_GB2312"/>
              </w:rPr>
              <w:t>。</w:t>
            </w:r>
            <w:r>
              <w:rPr>
                <w:rFonts w:ascii="仿宋_GB2312" w:hAnsi="仿宋_GB2312" w:cs="仿宋_GB2312" w:eastAsia="仿宋_GB2312"/>
              </w:rPr>
              <w:t>通过对工程造价结算内容的审查，以确保工程造价的合理性和准确性，确保工程项目的造价结算符合相关法律法规和政策要求，保证工程项目的合规性和可持续发展。工程造价结算审核内容主要包括以下几个方面：</w:t>
            </w:r>
          </w:p>
          <w:p>
            <w:pPr>
              <w:pStyle w:val="null3"/>
              <w:ind w:firstLine="480"/>
              <w:jc w:val="both"/>
            </w:pPr>
            <w:r>
              <w:rPr>
                <w:rFonts w:ascii="仿宋_GB2312" w:hAnsi="仿宋_GB2312" w:cs="仿宋_GB2312" w:eastAsia="仿宋_GB2312"/>
              </w:rPr>
              <w:t>①</w:t>
            </w:r>
            <w:r>
              <w:rPr>
                <w:rFonts w:ascii="仿宋_GB2312" w:hAnsi="仿宋_GB2312" w:cs="仿宋_GB2312" w:eastAsia="仿宋_GB2312"/>
              </w:rPr>
              <w:t>预算（概算）审查</w:t>
            </w:r>
            <w:r>
              <w:rPr>
                <w:rFonts w:ascii="仿宋_GB2312" w:hAnsi="仿宋_GB2312" w:cs="仿宋_GB2312" w:eastAsia="仿宋_GB2312"/>
              </w:rPr>
              <w:t>。</w:t>
            </w:r>
            <w:r>
              <w:rPr>
                <w:rFonts w:ascii="仿宋_GB2312" w:hAnsi="仿宋_GB2312" w:cs="仿宋_GB2312" w:eastAsia="仿宋_GB2312"/>
              </w:rPr>
              <w:t>在项目正式立项前，审查技术方案预算（概算）中各项费用的合理性。</w:t>
            </w:r>
          </w:p>
          <w:p>
            <w:pPr>
              <w:pStyle w:val="null3"/>
              <w:ind w:firstLine="480"/>
              <w:jc w:val="both"/>
            </w:pPr>
            <w:r>
              <w:rPr>
                <w:rFonts w:ascii="仿宋_GB2312" w:hAnsi="仿宋_GB2312" w:cs="仿宋_GB2312" w:eastAsia="仿宋_GB2312"/>
              </w:rPr>
              <w:t>②</w:t>
            </w:r>
            <w:r>
              <w:rPr>
                <w:rFonts w:ascii="仿宋_GB2312" w:hAnsi="仿宋_GB2312" w:cs="仿宋_GB2312" w:eastAsia="仿宋_GB2312"/>
              </w:rPr>
              <w:t>工程量审查</w:t>
            </w:r>
            <w:r>
              <w:rPr>
                <w:rFonts w:ascii="仿宋_GB2312" w:hAnsi="仿宋_GB2312" w:cs="仿宋_GB2312" w:eastAsia="仿宋_GB2312"/>
              </w:rPr>
              <w:t>。</w:t>
            </w:r>
            <w:r>
              <w:rPr>
                <w:rFonts w:ascii="仿宋_GB2312" w:hAnsi="仿宋_GB2312" w:cs="仿宋_GB2312" w:eastAsia="仿宋_GB2312"/>
              </w:rPr>
              <w:t>对现场设备、软件实际部署情况、运维服务、安全服务及数据采集工作等实际工作量进行审核。对各阶段成果文件、验收报告、采购发票、评审意见、研发工作量等资料进行审核。</w:t>
            </w:r>
          </w:p>
          <w:p>
            <w:pPr>
              <w:pStyle w:val="null3"/>
              <w:ind w:firstLine="480"/>
              <w:jc w:val="both"/>
            </w:pPr>
            <w:r>
              <w:rPr>
                <w:rFonts w:ascii="仿宋_GB2312" w:hAnsi="仿宋_GB2312" w:cs="仿宋_GB2312" w:eastAsia="仿宋_GB2312"/>
              </w:rPr>
              <w:t>③</w:t>
            </w:r>
            <w:r>
              <w:rPr>
                <w:rFonts w:ascii="仿宋_GB2312" w:hAnsi="仿宋_GB2312" w:cs="仿宋_GB2312" w:eastAsia="仿宋_GB2312"/>
              </w:rPr>
              <w:t>费用审查</w:t>
            </w:r>
            <w:r>
              <w:rPr>
                <w:rFonts w:ascii="仿宋_GB2312" w:hAnsi="仿宋_GB2312" w:cs="仿宋_GB2312" w:eastAsia="仿宋_GB2312"/>
              </w:rPr>
              <w:t>。</w:t>
            </w:r>
            <w:r>
              <w:rPr>
                <w:rFonts w:ascii="仿宋_GB2312" w:hAnsi="仿宋_GB2312" w:cs="仿宋_GB2312" w:eastAsia="仿宋_GB2312"/>
              </w:rPr>
              <w:t>功能列项套费率，依据规范将系统需求进行功能点拆分，审查工作量，审查项目综合费用。</w:t>
            </w:r>
          </w:p>
          <w:p>
            <w:pPr>
              <w:pStyle w:val="null3"/>
              <w:ind w:firstLine="480"/>
              <w:jc w:val="both"/>
            </w:pPr>
            <w:r>
              <w:rPr>
                <w:rFonts w:ascii="仿宋_GB2312" w:hAnsi="仿宋_GB2312" w:cs="仿宋_GB2312" w:eastAsia="仿宋_GB2312"/>
              </w:rPr>
              <w:t>④</w:t>
            </w:r>
            <w:r>
              <w:rPr>
                <w:rFonts w:ascii="仿宋_GB2312" w:hAnsi="仿宋_GB2312" w:cs="仿宋_GB2312" w:eastAsia="仿宋_GB2312"/>
              </w:rPr>
              <w:t>支付审查</w:t>
            </w:r>
            <w:r>
              <w:rPr>
                <w:rFonts w:ascii="仿宋_GB2312" w:hAnsi="仿宋_GB2312" w:cs="仿宋_GB2312" w:eastAsia="仿宋_GB2312"/>
              </w:rPr>
              <w:t>。</w:t>
            </w:r>
            <w:r>
              <w:rPr>
                <w:rFonts w:ascii="仿宋_GB2312" w:hAnsi="仿宋_GB2312" w:cs="仿宋_GB2312" w:eastAsia="仿宋_GB2312"/>
              </w:rPr>
              <w:t>对工程项目的支付过程进行审查，包括支付的时间、支付的金额、支付的对象等。</w:t>
            </w:r>
          </w:p>
          <w:p>
            <w:pPr>
              <w:pStyle w:val="null3"/>
              <w:ind w:firstLine="480"/>
              <w:jc w:val="both"/>
            </w:pPr>
            <w:r>
              <w:rPr>
                <w:rFonts w:ascii="仿宋_GB2312" w:hAnsi="仿宋_GB2312" w:cs="仿宋_GB2312" w:eastAsia="仿宋_GB2312"/>
              </w:rPr>
              <w:t>⑤</w:t>
            </w:r>
            <w:r>
              <w:rPr>
                <w:rFonts w:ascii="仿宋_GB2312" w:hAnsi="仿宋_GB2312" w:cs="仿宋_GB2312" w:eastAsia="仿宋_GB2312"/>
              </w:rPr>
              <w:t>工期审查</w:t>
            </w:r>
            <w:r>
              <w:rPr>
                <w:rFonts w:ascii="仿宋_GB2312" w:hAnsi="仿宋_GB2312" w:cs="仿宋_GB2312" w:eastAsia="仿宋_GB2312"/>
              </w:rPr>
              <w:t>。</w:t>
            </w:r>
            <w:r>
              <w:rPr>
                <w:rFonts w:ascii="仿宋_GB2312" w:hAnsi="仿宋_GB2312" w:cs="仿宋_GB2312" w:eastAsia="仿宋_GB2312"/>
              </w:rPr>
              <w:t>对工程项目的工期进行审查，包括工程项目的计划进度、实际进度等。</w:t>
            </w:r>
          </w:p>
          <w:p>
            <w:pPr>
              <w:pStyle w:val="null3"/>
              <w:ind w:firstLine="480"/>
              <w:jc w:val="both"/>
            </w:pPr>
            <w:r>
              <w:rPr>
                <w:rFonts w:ascii="仿宋_GB2312" w:hAnsi="仿宋_GB2312" w:cs="仿宋_GB2312" w:eastAsia="仿宋_GB2312"/>
              </w:rPr>
              <w:t>⑥</w:t>
            </w:r>
            <w:r>
              <w:rPr>
                <w:rFonts w:ascii="仿宋_GB2312" w:hAnsi="仿宋_GB2312" w:cs="仿宋_GB2312" w:eastAsia="仿宋_GB2312"/>
              </w:rPr>
              <w:t>结算文件审查</w:t>
            </w:r>
            <w:r>
              <w:rPr>
                <w:rFonts w:ascii="仿宋_GB2312" w:hAnsi="仿宋_GB2312" w:cs="仿宋_GB2312" w:eastAsia="仿宋_GB2312"/>
              </w:rPr>
              <w:t>。</w:t>
            </w:r>
            <w:r>
              <w:rPr>
                <w:rFonts w:ascii="仿宋_GB2312" w:hAnsi="仿宋_GB2312" w:cs="仿宋_GB2312" w:eastAsia="仿宋_GB2312"/>
              </w:rPr>
              <w:t>对工程项目的结算文件进行审查，包括结算报告、结算单、结算资料等。</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）竣工财务决算审计</w:t>
            </w:r>
          </w:p>
          <w:p>
            <w:pPr>
              <w:pStyle w:val="null3"/>
              <w:ind w:firstLine="480"/>
              <w:jc w:val="both"/>
            </w:pPr>
            <w:r>
              <w:rPr>
                <w:rFonts w:ascii="仿宋_GB2312" w:hAnsi="仿宋_GB2312" w:cs="仿宋_GB2312" w:eastAsia="仿宋_GB2312"/>
              </w:rPr>
              <w:t>①</w:t>
            </w:r>
            <w:r>
              <w:rPr>
                <w:rFonts w:ascii="仿宋_GB2312" w:hAnsi="仿宋_GB2312" w:cs="仿宋_GB2312" w:eastAsia="仿宋_GB2312"/>
              </w:rPr>
              <w:t>审查决算资料的完整性。经批准的可行性研究报告，初步设计、投资概算、系统及设备清单及各种合同及协议书；工程预算（投标报价）、结算书；同级财政审批的各年度财务决算报表及竣工财务决算报表；各年度下达的固定资产投资计划及调整计划；已办理竣工验收的单项工程的竣工验收资料；建设项目设备、材料采购及入、出库资料；财务会计报表、会计帐簿、会计凭证及其他会计资料；工程项目交点清单及财产盘点移交清单；其他资料，如收尾工程、遗留问题等。</w:t>
            </w:r>
          </w:p>
          <w:p>
            <w:pPr>
              <w:pStyle w:val="null3"/>
              <w:ind w:firstLine="480"/>
              <w:jc w:val="both"/>
            </w:pPr>
            <w:r>
              <w:rPr>
                <w:rFonts w:ascii="仿宋_GB2312" w:hAnsi="仿宋_GB2312" w:cs="仿宋_GB2312" w:eastAsia="仿宋_GB2312"/>
              </w:rPr>
              <w:t>②</w:t>
            </w:r>
            <w:r>
              <w:rPr>
                <w:rFonts w:ascii="仿宋_GB2312" w:hAnsi="仿宋_GB2312" w:cs="仿宋_GB2312" w:eastAsia="仿宋_GB2312"/>
              </w:rPr>
              <w:t>竣工财务决算报表和说明书完整性、真实性审计。项目财务决算报表（不限于基本建设项目竣工决算审批表；建设项目竣工工程概况表；竣工工程财务决算表；交付使用资产总表；交付使用资产明细表）。</w:t>
            </w:r>
          </w:p>
          <w:p>
            <w:pPr>
              <w:pStyle w:val="null3"/>
              <w:ind w:firstLine="480"/>
              <w:jc w:val="both"/>
            </w:pPr>
            <w:r>
              <w:rPr>
                <w:rFonts w:ascii="仿宋_GB2312" w:hAnsi="仿宋_GB2312" w:cs="仿宋_GB2312" w:eastAsia="仿宋_GB2312"/>
              </w:rPr>
              <w:t>③</w:t>
            </w:r>
            <w:r>
              <w:rPr>
                <w:rFonts w:ascii="仿宋_GB2312" w:hAnsi="仿宋_GB2312" w:cs="仿宋_GB2312" w:eastAsia="仿宋_GB2312"/>
              </w:rPr>
              <w:t>各项投资支出的真实性、合规性审计。包括工程投资审计、设备投资审计、待摊投资列支的审计、其他投资支出的审计、待核销基建支出的审计及转出投资审计等。审计工程设备费用、软件费用的计算，确保费用的合理性和准确性。</w:t>
            </w:r>
          </w:p>
          <w:p>
            <w:pPr>
              <w:pStyle w:val="null3"/>
              <w:ind w:firstLine="480"/>
              <w:jc w:val="both"/>
            </w:pPr>
            <w:r>
              <w:rPr>
                <w:rFonts w:ascii="仿宋_GB2312" w:hAnsi="仿宋_GB2312" w:cs="仿宋_GB2312" w:eastAsia="仿宋_GB2312"/>
              </w:rPr>
              <w:t>④</w:t>
            </w:r>
            <w:r>
              <w:rPr>
                <w:rFonts w:ascii="仿宋_GB2312" w:hAnsi="仿宋_GB2312" w:cs="仿宋_GB2312" w:eastAsia="仿宋_GB2312"/>
              </w:rPr>
              <w:t>建设工程竣工结算的真实性、合规性审计。包括约定的合同价款及合同价款调整内容以及索赔事项是否规范；工程设计变更价款调整事项是否约定；过程造价控制是否真实合规；工程进度款结算与支付是否合规；工程造价咨询机构出具的工程结算文件是否真实合规等。</w:t>
            </w:r>
          </w:p>
          <w:p>
            <w:pPr>
              <w:pStyle w:val="null3"/>
              <w:ind w:firstLine="480"/>
              <w:jc w:val="both"/>
            </w:pPr>
            <w:r>
              <w:rPr>
                <w:rFonts w:ascii="仿宋_GB2312" w:hAnsi="仿宋_GB2312" w:cs="仿宋_GB2312" w:eastAsia="仿宋_GB2312"/>
              </w:rPr>
              <w:t>⑤</w:t>
            </w:r>
            <w:r>
              <w:rPr>
                <w:rFonts w:ascii="仿宋_GB2312" w:hAnsi="仿宋_GB2312" w:cs="仿宋_GB2312" w:eastAsia="仿宋_GB2312"/>
              </w:rPr>
              <w:t>合规性审查</w:t>
            </w:r>
            <w:r>
              <w:rPr>
                <w:rFonts w:ascii="仿宋_GB2312" w:hAnsi="仿宋_GB2312" w:cs="仿宋_GB2312" w:eastAsia="仿宋_GB2312"/>
              </w:rPr>
              <w:t>。</w:t>
            </w:r>
            <w:r>
              <w:rPr>
                <w:rFonts w:ascii="仿宋_GB2312" w:hAnsi="仿宋_GB2312" w:cs="仿宋_GB2312" w:eastAsia="仿宋_GB2312"/>
              </w:rPr>
              <w:t>对工程项目的合规性进行审查，核查项目在立项、招投标、工程监理、交付验收等环节是否严格执行国家相关制度和政策规定等。</w:t>
            </w:r>
          </w:p>
          <w:p>
            <w:pPr>
              <w:pStyle w:val="null3"/>
              <w:ind w:firstLine="480"/>
              <w:jc w:val="both"/>
            </w:pPr>
            <w:r>
              <w:rPr>
                <w:rFonts w:ascii="仿宋_GB2312" w:hAnsi="仿宋_GB2312" w:cs="仿宋_GB2312" w:eastAsia="仿宋_GB2312"/>
              </w:rPr>
              <w:t>⑥</w:t>
            </w:r>
            <w:r>
              <w:rPr>
                <w:rFonts w:ascii="仿宋_GB2312" w:hAnsi="仿宋_GB2312" w:cs="仿宋_GB2312" w:eastAsia="仿宋_GB2312"/>
              </w:rPr>
              <w:t>风险审查</w:t>
            </w:r>
            <w:r>
              <w:rPr>
                <w:rFonts w:ascii="仿宋_GB2312" w:hAnsi="仿宋_GB2312" w:cs="仿宋_GB2312" w:eastAsia="仿宋_GB2312"/>
              </w:rPr>
              <w:t>。</w:t>
            </w:r>
            <w:r>
              <w:rPr>
                <w:rFonts w:ascii="仿宋_GB2312" w:hAnsi="仿宋_GB2312" w:cs="仿宋_GB2312" w:eastAsia="仿宋_GB2312"/>
              </w:rPr>
              <w:t>对工程项目的风险进行审查，包括工程项目的风险评估、风险控制等。</w:t>
            </w:r>
          </w:p>
          <w:p>
            <w:pPr>
              <w:pStyle w:val="null3"/>
              <w:ind w:firstLine="480"/>
              <w:jc w:val="both"/>
            </w:pPr>
            <w:r>
              <w:rPr>
                <w:rFonts w:ascii="仿宋_GB2312" w:hAnsi="仿宋_GB2312" w:cs="仿宋_GB2312" w:eastAsia="仿宋_GB2312"/>
              </w:rPr>
              <w:t>⑦</w:t>
            </w:r>
            <w:r>
              <w:rPr>
                <w:rFonts w:ascii="仿宋_GB2312" w:hAnsi="仿宋_GB2312" w:cs="仿宋_GB2312" w:eastAsia="仿宋_GB2312"/>
              </w:rPr>
              <w:t>合同审查</w:t>
            </w:r>
            <w:r>
              <w:rPr>
                <w:rFonts w:ascii="仿宋_GB2312" w:hAnsi="仿宋_GB2312" w:cs="仿宋_GB2312" w:eastAsia="仿宋_GB2312"/>
              </w:rPr>
              <w:t>。</w:t>
            </w:r>
            <w:r>
              <w:rPr>
                <w:rFonts w:ascii="仿宋_GB2312" w:hAnsi="仿宋_GB2312" w:cs="仿宋_GB2312" w:eastAsia="仿宋_GB2312"/>
              </w:rPr>
              <w:t>对项目合同进行审查，确保合同条款的履行和变更符合法律法规和政策要求，防范合同风险，维护国家利益。</w:t>
            </w:r>
          </w:p>
          <w:p>
            <w:pPr>
              <w:pStyle w:val="null3"/>
              <w:ind w:firstLine="480"/>
              <w:jc w:val="both"/>
            </w:pPr>
            <w:r>
              <w:rPr>
                <w:rFonts w:ascii="仿宋_GB2312" w:hAnsi="仿宋_GB2312" w:cs="仿宋_GB2312" w:eastAsia="仿宋_GB2312"/>
              </w:rPr>
              <w:t>⑧</w:t>
            </w:r>
            <w:r>
              <w:rPr>
                <w:rFonts w:ascii="仿宋_GB2312" w:hAnsi="仿宋_GB2312" w:cs="仿宋_GB2312" w:eastAsia="仿宋_GB2312"/>
              </w:rPr>
              <w:t>概算执行情况审计。包括实际完成投资总额的真实合规性审计，概算总投资、投入实际金额、实际投资完成额的比较；分析超支或节余的原因等。</w:t>
            </w:r>
          </w:p>
          <w:p>
            <w:pPr>
              <w:pStyle w:val="null3"/>
              <w:ind w:firstLine="480"/>
              <w:jc w:val="both"/>
            </w:pPr>
            <w:r>
              <w:rPr>
                <w:rFonts w:ascii="仿宋_GB2312" w:hAnsi="仿宋_GB2312" w:cs="仿宋_GB2312" w:eastAsia="仿宋_GB2312"/>
              </w:rPr>
              <w:t>⑨</w:t>
            </w:r>
            <w:r>
              <w:rPr>
                <w:rFonts w:ascii="仿宋_GB2312" w:hAnsi="仿宋_GB2312" w:cs="仿宋_GB2312" w:eastAsia="仿宋_GB2312"/>
              </w:rPr>
              <w:t>交付使用资产真实性、完整性审计。包括是否符合交付使用条件；交接手续是否齐全；应交使用资产是否真实、完整等。</w:t>
            </w:r>
          </w:p>
          <w:p>
            <w:pPr>
              <w:pStyle w:val="null3"/>
              <w:ind w:firstLine="480"/>
              <w:jc w:val="both"/>
            </w:pPr>
            <w:r>
              <w:rPr>
                <w:rFonts w:ascii="仿宋_GB2312" w:hAnsi="仿宋_GB2312" w:cs="仿宋_GB2312" w:eastAsia="仿宋_GB2312"/>
              </w:rPr>
              <w:t>⑩</w:t>
            </w:r>
            <w:r>
              <w:rPr>
                <w:rFonts w:ascii="仿宋_GB2312" w:hAnsi="仿宋_GB2312" w:cs="仿宋_GB2312" w:eastAsia="仿宋_GB2312"/>
              </w:rPr>
              <w:t>结余资金及项目收入审计。包括结余资金管理是否规范，有无小金库；库存物资管理是否规范，数量、质量是否存在问题，库存材料价格是否真实；往来款项、债权债务是否清晰，是否存在转移挪用问题，债权债务清理是否及时；项目收入是否及时清算，来源是否核实，收入分配是否存在问题。</w:t>
            </w:r>
          </w:p>
          <w:p>
            <w:pPr>
              <w:pStyle w:val="null3"/>
              <w:ind w:firstLine="480"/>
              <w:jc w:val="both"/>
            </w:pPr>
            <w:r>
              <w:rPr>
                <w:rFonts w:ascii="仿宋_GB2312" w:hAnsi="仿宋_GB2312" w:cs="仿宋_GB2312" w:eastAsia="仿宋_GB2312"/>
                <w:sz w:val="19"/>
                <w:color w:val="333333"/>
                <w:shd w:fill="FFFFFF" w:val="clear"/>
              </w:rPr>
              <w:t>⑪</w:t>
            </w:r>
            <w:r>
              <w:rPr>
                <w:rFonts w:ascii="仿宋_GB2312" w:hAnsi="仿宋_GB2312" w:cs="仿宋_GB2312" w:eastAsia="仿宋_GB2312"/>
              </w:rPr>
              <w:t>尾工工程审计。包括未完工程工程量的真实性和预留投资金额的真实性。</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交付成果</w:t>
            </w:r>
          </w:p>
          <w:p>
            <w:pPr>
              <w:pStyle w:val="null3"/>
              <w:ind w:firstLine="480"/>
              <w:jc w:val="both"/>
            </w:pPr>
            <w:r>
              <w:rPr>
                <w:rFonts w:ascii="仿宋_GB2312" w:hAnsi="仿宋_GB2312" w:cs="仿宋_GB2312" w:eastAsia="仿宋_GB2312"/>
              </w:rPr>
              <w:t>项目竣工结算审核报告及决算审计报告各</w:t>
            </w:r>
            <w:r>
              <w:rPr>
                <w:rFonts w:ascii="仿宋_GB2312" w:hAnsi="仿宋_GB2312" w:cs="仿宋_GB2312" w:eastAsia="仿宋_GB2312"/>
              </w:rPr>
              <w:t>1</w:t>
            </w:r>
            <w:r>
              <w:rPr>
                <w:rFonts w:ascii="仿宋_GB2312" w:hAnsi="仿宋_GB2312" w:cs="仿宋_GB2312" w:eastAsia="仿宋_GB2312"/>
              </w:rPr>
              <w:t>套。</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服务要求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应按照国家、陕西省相关标准执行</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）参与项目的管理及技术人员应签署保密协议，遵守工作纪律和保密要求</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）服务成果以资料汇编形式提交，经局项目负责人确认后视为验收通过</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）进度明确，节点清晰。按时出具审计报告，保证审计报告内容的真实性、可靠性。</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）服务标准：按照国家、陕西省相关标准执行。</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）服务期限：合同签订后至整个项目验收交付完成。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both"/>
            </w:pPr>
            <w:r>
              <w:rPr>
                <w:rFonts w:ascii="仿宋_GB2312" w:hAnsi="仿宋_GB2312" w:cs="仿宋_GB2312" w:eastAsia="仿宋_GB2312"/>
              </w:rPr>
              <w:t>服务人员数量及组成：</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拟派项目总负责人具有一级注册造价工程师或原国家注册造价工程师。（注：提供开标前近三个月的社保缴纳证明，须在本单位注册，以上证件提供复印件加盖公章。）</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拟派结算审核负责人具有软件工程造价师。（注：提供开标前近三个月的社保缴纳证明，须在本单位注册，以上证件提供复印件加盖公章。）</w:t>
            </w:r>
          </w:p>
          <w:p>
            <w:pPr>
              <w:pStyle w:val="null3"/>
              <w:ind w:firstLine="40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拟派竣工财务决算审计负责人具有注册会计师（注：提供开标前近三个月的社保缴纳证明，须在本单位注册，以上证件提供复印件加盖公章。）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 xml:space="preserve">    服务事项的验收（考核）标准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按陕政数据〔</w:t>
            </w:r>
            <w:r>
              <w:rPr>
                <w:rFonts w:ascii="仿宋_GB2312" w:hAnsi="仿宋_GB2312" w:cs="仿宋_GB2312" w:eastAsia="仿宋_GB2312"/>
                <w:sz w:val="21"/>
              </w:rPr>
              <w:t>2023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号文关于印发省级政务信息化项目竣工验收管理办法（试行）的要求执行。</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标的名称：第三方软件测评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服务范围</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rPr>
              <w:t>陕西省成本调查监审工作平台信创适配迁移项目</w:t>
            </w:r>
            <w:r>
              <w:rPr>
                <w:rFonts w:ascii="仿宋_GB2312" w:hAnsi="仿宋_GB2312" w:cs="仿宋_GB2312" w:eastAsia="仿宋_GB2312"/>
                <w:sz w:val="21"/>
              </w:rPr>
              <w:t>提供软件测评服务。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rPr>
              <w:t>服务内容：</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测评目标</w:t>
            </w:r>
            <w:r>
              <w:rPr>
                <w:rFonts w:ascii="仿宋_GB2312" w:hAnsi="仿宋_GB2312" w:cs="仿宋_GB2312" w:eastAsia="仿宋_GB2312"/>
              </w:rPr>
              <w:t>。</w:t>
            </w:r>
            <w:r>
              <w:rPr>
                <w:rFonts w:ascii="仿宋_GB2312" w:hAnsi="仿宋_GB2312" w:cs="仿宋_GB2312" w:eastAsia="仿宋_GB2312"/>
              </w:rPr>
              <w:t>本项目对上线的所有软件委托第三方进行全面、客观地评估，包括功能性、性能、安全性、易用性等方面。通过测评结果，为使用者提供参考，帮助其做出正确的选择。</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测评方法</w:t>
            </w:r>
          </w:p>
          <w:p>
            <w:pPr>
              <w:pStyle w:val="null3"/>
              <w:ind w:firstLine="400"/>
              <w:jc w:val="both"/>
            </w:pPr>
            <w:r>
              <w:rPr>
                <w:rFonts w:ascii="仿宋_GB2312" w:hAnsi="仿宋_GB2312" w:cs="仿宋_GB2312" w:eastAsia="仿宋_GB2312"/>
              </w:rPr>
              <w:t>功能测试：对软件的各项功能进行测试，包括基本功能、高级功能等，检查其是否符合预期要求。</w:t>
            </w:r>
          </w:p>
          <w:p>
            <w:pPr>
              <w:pStyle w:val="null3"/>
              <w:ind w:firstLine="400"/>
              <w:jc w:val="both"/>
            </w:pPr>
            <w:r>
              <w:rPr>
                <w:rFonts w:ascii="仿宋_GB2312" w:hAnsi="仿宋_GB2312" w:cs="仿宋_GB2312" w:eastAsia="仿宋_GB2312"/>
              </w:rPr>
              <w:t>性能测试：测试软件在不同负载下的性能表现，包括响应时间、吞吐量等指标，以评估其稳定性和可靠性。</w:t>
            </w:r>
          </w:p>
          <w:p>
            <w:pPr>
              <w:pStyle w:val="null3"/>
              <w:ind w:firstLine="400"/>
              <w:jc w:val="both"/>
            </w:pPr>
            <w:r>
              <w:rPr>
                <w:rFonts w:ascii="仿宋_GB2312" w:hAnsi="仿宋_GB2312" w:cs="仿宋_GB2312" w:eastAsia="仿宋_GB2312"/>
              </w:rPr>
              <w:t>安全测试：对软件的安全性进行评估，包括数据加密、权限控制等方面，以确保用户的隐私和数据安全。</w:t>
            </w:r>
          </w:p>
          <w:p>
            <w:pPr>
              <w:pStyle w:val="null3"/>
              <w:ind w:firstLine="400"/>
              <w:jc w:val="both"/>
            </w:pPr>
            <w:r>
              <w:rPr>
                <w:rFonts w:ascii="仿宋_GB2312" w:hAnsi="仿宋_GB2312" w:cs="仿宋_GB2312" w:eastAsia="仿宋_GB2312"/>
              </w:rPr>
              <w:t>用户体验测试：通过模拟真实用户使用场景，评估软件的易用性和用户体验，包括界面设计、操作流程等。</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测试环境</w:t>
            </w:r>
            <w:r>
              <w:rPr>
                <w:rFonts w:ascii="仿宋_GB2312" w:hAnsi="仿宋_GB2312" w:cs="仿宋_GB2312" w:eastAsia="仿宋_GB2312"/>
              </w:rPr>
              <w:t>。</w:t>
            </w:r>
            <w:r>
              <w:rPr>
                <w:rFonts w:ascii="仿宋_GB2312" w:hAnsi="仿宋_GB2312" w:cs="仿宋_GB2312" w:eastAsia="仿宋_GB2312"/>
              </w:rPr>
              <w:t>为了保证测试的准确性和可重复性，测试环境应尽可能接近实际使用环境，包括硬件设备、网络环境等。同时，也应考虑到不同操作系统和浏览器版本的兼容性问题。</w:t>
            </w:r>
          </w:p>
          <w:p>
            <w:pPr>
              <w:pStyle w:val="null3"/>
            </w:pPr>
            <w:r>
              <w:rPr>
                <w:rFonts w:ascii="仿宋_GB2312" w:hAnsi="仿宋_GB2312" w:cs="仿宋_GB2312" w:eastAsia="仿宋_GB2312"/>
                <w:sz w:val="21"/>
              </w:rPr>
              <w:t>4.</w:t>
            </w:r>
            <w:r>
              <w:rPr>
                <w:rFonts w:ascii="仿宋_GB2312" w:hAnsi="仿宋_GB2312" w:cs="仿宋_GB2312" w:eastAsia="仿宋_GB2312"/>
                <w:sz w:val="21"/>
              </w:rPr>
              <w:t>测试计划</w:t>
            </w:r>
            <w:r>
              <w:rPr>
                <w:rFonts w:ascii="仿宋_GB2312" w:hAnsi="仿宋_GB2312" w:cs="仿宋_GB2312" w:eastAsia="仿宋_GB2312"/>
                <w:sz w:val="21"/>
              </w:rPr>
              <w:t>。</w:t>
            </w:r>
            <w:r>
              <w:rPr>
                <w:rFonts w:ascii="仿宋_GB2312" w:hAnsi="仿宋_GB2312" w:cs="仿宋_GB2312" w:eastAsia="仿宋_GB2312"/>
                <w:sz w:val="21"/>
              </w:rPr>
              <w:t>在开始测试前，需制定详细的测试计划，包括测试范围、测试用例、测试时间安排等。在测试过程中，应及时记录问题和缺陷，并跟踪修复情况。最后，应对测试结果进行分析和总结，形成报告或建议书。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服务标准：依据</w:t>
            </w:r>
            <w:r>
              <w:rPr>
                <w:rFonts w:ascii="仿宋_GB2312" w:hAnsi="仿宋_GB2312" w:cs="仿宋_GB2312" w:eastAsia="仿宋_GB2312"/>
                <w:sz w:val="21"/>
                <w:color w:val="000000"/>
              </w:rPr>
              <w:t>GB/T 25000.51-2016</w:t>
            </w:r>
            <w:r>
              <w:rPr>
                <w:rFonts w:ascii="仿宋_GB2312" w:hAnsi="仿宋_GB2312" w:cs="仿宋_GB2312" w:eastAsia="仿宋_GB2312"/>
                <w:sz w:val="21"/>
                <w:color w:val="000000"/>
              </w:rPr>
              <w:t>《系统与软件工程系统与软件质量要求和评价（</w:t>
            </w:r>
            <w:r>
              <w:rPr>
                <w:rFonts w:ascii="仿宋_GB2312" w:hAnsi="仿宋_GB2312" w:cs="仿宋_GB2312" w:eastAsia="仿宋_GB2312"/>
                <w:sz w:val="21"/>
                <w:color w:val="000000"/>
              </w:rPr>
              <w:t>SQuaRE</w:t>
            </w:r>
            <w:r>
              <w:rPr>
                <w:rFonts w:ascii="仿宋_GB2312" w:hAnsi="仿宋_GB2312" w:cs="仿宋_GB2312" w:eastAsia="仿宋_GB2312"/>
                <w:sz w:val="21"/>
                <w:color w:val="000000"/>
              </w:rPr>
              <w:t>）第</w:t>
            </w:r>
            <w:r>
              <w:rPr>
                <w:rFonts w:ascii="仿宋_GB2312" w:hAnsi="仿宋_GB2312" w:cs="仿宋_GB2312" w:eastAsia="仿宋_GB2312"/>
                <w:sz w:val="21"/>
                <w:color w:val="000000"/>
              </w:rPr>
              <w:t>51</w:t>
            </w:r>
            <w:r>
              <w:rPr>
                <w:rFonts w:ascii="仿宋_GB2312" w:hAnsi="仿宋_GB2312" w:cs="仿宋_GB2312" w:eastAsia="仿宋_GB2312"/>
                <w:sz w:val="21"/>
                <w:color w:val="000000"/>
              </w:rPr>
              <w:t>部分：就绪可用软件产品（</w:t>
            </w:r>
            <w:r>
              <w:rPr>
                <w:rFonts w:ascii="仿宋_GB2312" w:hAnsi="仿宋_GB2312" w:cs="仿宋_GB2312" w:eastAsia="仿宋_GB2312"/>
                <w:sz w:val="21"/>
                <w:color w:val="000000"/>
              </w:rPr>
              <w:t>RUSP</w:t>
            </w:r>
            <w:r>
              <w:rPr>
                <w:rFonts w:ascii="仿宋_GB2312" w:hAnsi="仿宋_GB2312" w:cs="仿宋_GB2312" w:eastAsia="仿宋_GB2312"/>
                <w:sz w:val="21"/>
                <w:color w:val="000000"/>
              </w:rPr>
              <w:t>）的质量要求和测试细则》和</w:t>
            </w:r>
            <w:r>
              <w:rPr>
                <w:rFonts w:ascii="仿宋_GB2312" w:hAnsi="仿宋_GB2312" w:cs="仿宋_GB2312" w:eastAsia="仿宋_GB2312"/>
                <w:sz w:val="21"/>
                <w:color w:val="000000"/>
              </w:rPr>
              <w:t>GB/T 15532-2008</w:t>
            </w:r>
            <w:r>
              <w:rPr>
                <w:rFonts w:ascii="仿宋_GB2312" w:hAnsi="仿宋_GB2312" w:cs="仿宋_GB2312" w:eastAsia="仿宋_GB2312"/>
                <w:sz w:val="21"/>
                <w:color w:val="000000"/>
              </w:rPr>
              <w:t>《计算机软件测试规范》等标准规范开展系统软件测试工作。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服务期限：合同签订后至整个项目验收交付完成。</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0"/>
              <w:jc w:val="both"/>
            </w:pPr>
            <w:r>
              <w:rPr>
                <w:rFonts w:ascii="仿宋_GB2312" w:hAnsi="仿宋_GB2312" w:cs="仿宋_GB2312" w:eastAsia="仿宋_GB2312"/>
                <w:color w:val="000000"/>
              </w:rPr>
              <w:t>服务人员数量及组成：</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项目负责人具有人社部门颁发的信息系统项目管理师证书资格证书、人社部门颁发的软件测评师资格证书。注：须提供有效的身份证扫描件、相关证书扫描件和</w:t>
            </w:r>
            <w:r>
              <w:rPr>
                <w:rFonts w:ascii="仿宋_GB2312" w:hAnsi="仿宋_GB2312" w:cs="仿宋_GB2312" w:eastAsia="仿宋_GB2312"/>
                <w:color w:val="000000"/>
              </w:rPr>
              <w:t>2024</w:t>
            </w:r>
            <w:r>
              <w:rPr>
                <w:rFonts w:ascii="仿宋_GB2312" w:hAnsi="仿宋_GB2312" w:cs="仿宋_GB2312" w:eastAsia="仿宋_GB2312"/>
                <w:color w:val="000000"/>
              </w:rPr>
              <w:t>年</w:t>
            </w:r>
            <w:r>
              <w:rPr>
                <w:rFonts w:ascii="仿宋_GB2312" w:hAnsi="仿宋_GB2312" w:cs="仿宋_GB2312" w:eastAsia="仿宋_GB2312"/>
                <w:color w:val="000000"/>
              </w:rPr>
              <w:t>1</w:t>
            </w:r>
            <w:r>
              <w:rPr>
                <w:rFonts w:ascii="仿宋_GB2312" w:hAnsi="仿宋_GB2312" w:cs="仿宋_GB2312" w:eastAsia="仿宋_GB2312"/>
                <w:color w:val="000000"/>
              </w:rPr>
              <w:t>月至今任意</w:t>
            </w:r>
            <w:r>
              <w:rPr>
                <w:rFonts w:ascii="仿宋_GB2312" w:hAnsi="仿宋_GB2312" w:cs="仿宋_GB2312" w:eastAsia="仿宋_GB2312"/>
                <w:color w:val="000000"/>
              </w:rPr>
              <w:t>1</w:t>
            </w:r>
            <w:r>
              <w:rPr>
                <w:rFonts w:ascii="仿宋_GB2312" w:hAnsi="仿宋_GB2312" w:cs="仿宋_GB2312" w:eastAsia="仿宋_GB2312"/>
                <w:color w:val="000000"/>
              </w:rPr>
              <w:t>个月的社保证明。</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团队成员具备</w:t>
            </w:r>
            <w:r>
              <w:rPr>
                <w:rFonts w:ascii="仿宋_GB2312" w:hAnsi="仿宋_GB2312" w:cs="仿宋_GB2312" w:eastAsia="仿宋_GB2312"/>
                <w:sz w:val="21"/>
                <w:color w:val="000000"/>
              </w:rPr>
              <w:t>软测测试工程师证书</w:t>
            </w:r>
            <w:r>
              <w:rPr>
                <w:rFonts w:ascii="仿宋_GB2312" w:hAnsi="仿宋_GB2312" w:cs="仿宋_GB2312" w:eastAsia="仿宋_GB2312"/>
                <w:sz w:val="21"/>
                <w:color w:val="000000"/>
              </w:rPr>
              <w:t>、检验检测机构资质认定内审员证书、实验室认可内审员证书。注：须提供有效的身份证扫描件、相关证书扫描件和</w:t>
            </w:r>
            <w:r>
              <w:rPr>
                <w:rFonts w:ascii="仿宋_GB2312" w:hAnsi="仿宋_GB2312" w:cs="仿宋_GB2312" w:eastAsia="仿宋_GB2312"/>
                <w:sz w:val="21"/>
                <w:color w:val="000000"/>
              </w:rPr>
              <w:t>2024</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w:t>
            </w:r>
            <w:r>
              <w:rPr>
                <w:rFonts w:ascii="仿宋_GB2312" w:hAnsi="仿宋_GB2312" w:cs="仿宋_GB2312" w:eastAsia="仿宋_GB2312"/>
                <w:sz w:val="21"/>
                <w:color w:val="000000"/>
              </w:rPr>
              <w:t>月至今任意</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个月的社保证明。</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服务事项的验收（考核）标准</w:t>
            </w:r>
            <w:r>
              <w:rPr>
                <w:rFonts w:ascii="仿宋_GB2312" w:hAnsi="仿宋_GB2312" w:cs="仿宋_GB2312" w:eastAsia="仿宋_GB2312"/>
                <w:sz w:val="21"/>
              </w:rPr>
              <w:t>：</w:t>
            </w:r>
            <w:r>
              <w:rPr>
                <w:rFonts w:ascii="仿宋_GB2312" w:hAnsi="仿宋_GB2312" w:cs="仿宋_GB2312" w:eastAsia="仿宋_GB2312"/>
                <w:sz w:val="21"/>
              </w:rPr>
              <w:t>按陕政数据〔</w:t>
            </w:r>
            <w:r>
              <w:rPr>
                <w:rFonts w:ascii="仿宋_GB2312" w:hAnsi="仿宋_GB2312" w:cs="仿宋_GB2312" w:eastAsia="仿宋_GB2312"/>
                <w:sz w:val="21"/>
              </w:rPr>
              <w:t>2023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号文关于印发省级政务信息化项目竣工验收管理办法（试行）的要求执行。</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服务范围</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rPr>
              <w:t>陕西省成本调查监审工作平台信创适配迁移项目</w:t>
            </w:r>
            <w:r>
              <w:rPr>
                <w:rFonts w:ascii="仿宋_GB2312" w:hAnsi="仿宋_GB2312" w:cs="仿宋_GB2312" w:eastAsia="仿宋_GB2312"/>
                <w:sz w:val="21"/>
              </w:rPr>
              <w:t>提供网络安全等级保护测评服务。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rPr>
              <w:t>1.</w:t>
            </w:r>
            <w:r>
              <w:rPr>
                <w:rFonts w:ascii="仿宋_GB2312" w:hAnsi="仿宋_GB2312" w:cs="仿宋_GB2312" w:eastAsia="仿宋_GB2312"/>
              </w:rPr>
              <w:t>服务内容：按照国家相关的标准规范开展等级测评工作，测评机构对本项目建设的该信息系统进行一次网络安全三级测评服务并提交测评报告。</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定级备案：指导单位定级备案资料填报及组织专家评审，配合去属地公安机关完成网络安全等级保护备案工作</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系统调研：在相关人员的协助下，对信息系统进行调研和梳理，掌握当前信息系统资产现状</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4.</w:t>
            </w:r>
            <w:r>
              <w:rPr>
                <w:rFonts w:ascii="仿宋_GB2312" w:hAnsi="仿宋_GB2312" w:cs="仿宋_GB2312" w:eastAsia="仿宋_GB2312"/>
              </w:rPr>
              <w:t>方案编制：对测评对象与测评指标进行确定与识别，结合调研情况编制符合本次测评服务的测评方案</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现场测评：根据国家标准和相关要求及编制的测评方案对上述信息系统中的相关资产进行测评项的检查、记录检查结果</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6.</w:t>
            </w:r>
            <w:r>
              <w:rPr>
                <w:rFonts w:ascii="仿宋_GB2312" w:hAnsi="仿宋_GB2312" w:cs="仿宋_GB2312" w:eastAsia="仿宋_GB2312"/>
              </w:rPr>
              <w:t>分析整改及复测：根据前述工作内容，分析信息系统安全情况与等级保护基本要求的差距</w:t>
            </w:r>
            <w:r>
              <w:rPr>
                <w:rFonts w:ascii="仿宋_GB2312" w:hAnsi="仿宋_GB2312" w:cs="仿宋_GB2312" w:eastAsia="仿宋_GB2312"/>
              </w:rPr>
              <w:t>,</w:t>
            </w:r>
            <w:r>
              <w:rPr>
                <w:rFonts w:ascii="仿宋_GB2312" w:hAnsi="仿宋_GB2312" w:cs="仿宋_GB2312" w:eastAsia="仿宋_GB2312"/>
              </w:rPr>
              <w:t>提供差异化测评服务，根据测评情况提出科学合理的整改建议，配合甲方进行整改工作并进行复测评</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7.</w:t>
            </w:r>
            <w:r>
              <w:rPr>
                <w:rFonts w:ascii="仿宋_GB2312" w:hAnsi="仿宋_GB2312" w:cs="仿宋_GB2312" w:eastAsia="仿宋_GB2312"/>
              </w:rPr>
              <w:t>结论报告：根据前述工作内容，分析当前信息系统安全保护能力是否符合相应等级的安全要求，针对整改项进行再次测评</w:t>
            </w:r>
            <w:r>
              <w:rPr>
                <w:rFonts w:ascii="仿宋_GB2312" w:hAnsi="仿宋_GB2312" w:cs="仿宋_GB2312" w:eastAsia="仿宋_GB2312"/>
              </w:rPr>
              <w:t>，</w:t>
            </w:r>
            <w:r>
              <w:rPr>
                <w:rFonts w:ascii="仿宋_GB2312" w:hAnsi="仿宋_GB2312" w:cs="仿宋_GB2312" w:eastAsia="仿宋_GB2312"/>
              </w:rPr>
              <w:t>提供安全等级符合性测评服务，编制测评报告。</w:t>
            </w:r>
          </w:p>
          <w:p>
            <w:pPr>
              <w:pStyle w:val="null3"/>
              <w:ind w:firstLine="400"/>
              <w:jc w:val="both"/>
            </w:pPr>
            <w:r>
              <w:rPr>
                <w:rFonts w:ascii="仿宋_GB2312" w:hAnsi="仿宋_GB2312" w:cs="仿宋_GB2312" w:eastAsia="仿宋_GB2312"/>
              </w:rPr>
              <w:t>8.</w:t>
            </w:r>
            <w:r>
              <w:rPr>
                <w:rFonts w:ascii="仿宋_GB2312" w:hAnsi="仿宋_GB2312" w:cs="仿宋_GB2312" w:eastAsia="仿宋_GB2312"/>
              </w:rPr>
              <w:t>提交测评资料：测评完成后，乙方向甲方提交以下纸质版及电子版资料各一份：网络安全等级保护测评整改建议书、网络安全等级保护测评报告、信息系统渗透测试报告。</w:t>
            </w:r>
          </w:p>
          <w:p>
            <w:pPr>
              <w:pStyle w:val="null3"/>
            </w:pPr>
            <w:r>
              <w:rPr>
                <w:rFonts w:ascii="仿宋_GB2312" w:hAnsi="仿宋_GB2312" w:cs="仿宋_GB2312" w:eastAsia="仿宋_GB2312"/>
                <w:sz w:val="21"/>
              </w:rPr>
              <w:t>9.</w:t>
            </w:r>
            <w:r>
              <w:rPr>
                <w:rFonts w:ascii="仿宋_GB2312" w:hAnsi="仿宋_GB2312" w:cs="仿宋_GB2312" w:eastAsia="仿宋_GB2312"/>
                <w:sz w:val="21"/>
              </w:rPr>
              <w:t>服务标准：按照《信息安全技术网络安全等级保护定级指南》</w:t>
            </w:r>
            <w:r>
              <w:rPr>
                <w:rFonts w:ascii="仿宋_GB2312" w:hAnsi="仿宋_GB2312" w:cs="仿宋_GB2312" w:eastAsia="仿宋_GB2312"/>
                <w:sz w:val="21"/>
              </w:rPr>
              <w:t>(GB/T 22240-2020)</w:t>
            </w:r>
            <w:r>
              <w:rPr>
                <w:rFonts w:ascii="仿宋_GB2312" w:hAnsi="仿宋_GB2312" w:cs="仿宋_GB2312" w:eastAsia="仿宋_GB2312"/>
                <w:sz w:val="21"/>
              </w:rPr>
              <w:t>、《信息安全技术 网络安全等级保护实施指南》</w:t>
            </w:r>
            <w:r>
              <w:rPr>
                <w:rFonts w:ascii="仿宋_GB2312" w:hAnsi="仿宋_GB2312" w:cs="仿宋_GB2312" w:eastAsia="仿宋_GB2312"/>
                <w:sz w:val="21"/>
              </w:rPr>
              <w:t>(GB/T25058-2019)</w:t>
            </w:r>
            <w:r>
              <w:rPr>
                <w:rFonts w:ascii="仿宋_GB2312" w:hAnsi="仿宋_GB2312" w:cs="仿宋_GB2312" w:eastAsia="仿宋_GB2312"/>
                <w:sz w:val="21"/>
              </w:rPr>
              <w:t>、《信息安全技术 网络安全等级保护基本要求》</w:t>
            </w:r>
            <w:r>
              <w:rPr>
                <w:rFonts w:ascii="仿宋_GB2312" w:hAnsi="仿宋_GB2312" w:cs="仿宋_GB2312" w:eastAsia="仿宋_GB2312"/>
                <w:sz w:val="21"/>
              </w:rPr>
              <w:t>(GB/T22239-2019)</w:t>
            </w:r>
            <w:r>
              <w:rPr>
                <w:rFonts w:ascii="仿宋_GB2312" w:hAnsi="仿宋_GB2312" w:cs="仿宋_GB2312" w:eastAsia="仿宋_GB2312"/>
                <w:sz w:val="21"/>
              </w:rPr>
              <w:t>、《信息安全技术 网络安全等级保护测评要求》</w:t>
            </w:r>
            <w:r>
              <w:rPr>
                <w:rFonts w:ascii="仿宋_GB2312" w:hAnsi="仿宋_GB2312" w:cs="仿宋_GB2312" w:eastAsia="仿宋_GB2312"/>
                <w:sz w:val="21"/>
              </w:rPr>
              <w:t>(GB/T28448-2019)</w:t>
            </w:r>
            <w:r>
              <w:rPr>
                <w:rFonts w:ascii="仿宋_GB2312" w:hAnsi="仿宋_GB2312" w:cs="仿宋_GB2312" w:eastAsia="仿宋_GB2312"/>
                <w:sz w:val="21"/>
              </w:rPr>
              <w:t>、《信息安全技术 网络安全等级保护测评过程指南》</w:t>
            </w:r>
            <w:r>
              <w:rPr>
                <w:rFonts w:ascii="仿宋_GB2312" w:hAnsi="仿宋_GB2312" w:cs="仿宋_GB2312" w:eastAsia="仿宋_GB2312"/>
                <w:sz w:val="21"/>
              </w:rPr>
              <w:t>(GB/T28449-2018)</w:t>
            </w:r>
            <w:r>
              <w:rPr>
                <w:rFonts w:ascii="仿宋_GB2312" w:hAnsi="仿宋_GB2312" w:cs="仿宋_GB2312" w:eastAsia="仿宋_GB2312"/>
                <w:sz w:val="21"/>
              </w:rPr>
              <w:t>等相关的标准规范及文件要求，对系统的安全物理环境、安全通信网络、安全区域边界、安全计算环境、安全管理中心、安全管理制度、安全管理机构、安全管理人员、安全建设管理、安全运维管理共</w:t>
            </w:r>
            <w:r>
              <w:rPr>
                <w:rFonts w:ascii="仿宋_GB2312" w:hAnsi="仿宋_GB2312" w:cs="仿宋_GB2312" w:eastAsia="仿宋_GB2312"/>
                <w:sz w:val="21"/>
              </w:rPr>
              <w:t>10</w:t>
            </w:r>
            <w:r>
              <w:rPr>
                <w:rFonts w:ascii="仿宋_GB2312" w:hAnsi="仿宋_GB2312" w:cs="仿宋_GB2312" w:eastAsia="仿宋_GB2312"/>
                <w:sz w:val="21"/>
              </w:rPr>
              <w:t>个层面开展网络安全等级保护测评工作。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服务期限：合同签订后至整个项目验收交付完成。</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0"/>
              <w:jc w:val="both"/>
            </w:pPr>
            <w:r>
              <w:rPr>
                <w:rFonts w:ascii="仿宋_GB2312" w:hAnsi="仿宋_GB2312" w:cs="仿宋_GB2312" w:eastAsia="仿宋_GB2312"/>
                <w:color w:val="000000"/>
              </w:rPr>
              <w:t>服务人员数量及组成：</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项目经理具备网络安全等级测评高级测评师证书、或</w:t>
            </w:r>
            <w:r>
              <w:rPr>
                <w:rFonts w:ascii="仿宋_GB2312" w:hAnsi="仿宋_GB2312" w:cs="仿宋_GB2312" w:eastAsia="仿宋_GB2312"/>
                <w:color w:val="000000"/>
              </w:rPr>
              <w:t>PMP</w:t>
            </w:r>
            <w:r>
              <w:rPr>
                <w:rFonts w:ascii="仿宋_GB2312" w:hAnsi="仿宋_GB2312" w:cs="仿宋_GB2312" w:eastAsia="仿宋_GB2312"/>
                <w:color w:val="000000"/>
              </w:rPr>
              <w:t>（项目管理专业人士资格认证）证书、或注册信息安全</w:t>
            </w:r>
            <w:r>
              <w:rPr>
                <w:rFonts w:ascii="仿宋_GB2312" w:hAnsi="仿宋_GB2312" w:cs="仿宋_GB2312" w:eastAsia="仿宋_GB2312"/>
                <w:color w:val="000000"/>
              </w:rPr>
              <w:t>-CISP</w:t>
            </w:r>
            <w:r>
              <w:rPr>
                <w:rFonts w:ascii="仿宋_GB2312" w:hAnsi="仿宋_GB2312" w:cs="仿宋_GB2312" w:eastAsia="仿宋_GB2312"/>
                <w:color w:val="000000"/>
              </w:rPr>
              <w:t>证书、或信息安全保障人员</w:t>
            </w:r>
            <w:r>
              <w:rPr>
                <w:rFonts w:ascii="仿宋_GB2312" w:hAnsi="仿宋_GB2312" w:cs="仿宋_GB2312" w:eastAsia="仿宋_GB2312"/>
                <w:color w:val="000000"/>
              </w:rPr>
              <w:t>-CISAW</w:t>
            </w:r>
            <w:r>
              <w:rPr>
                <w:rFonts w:ascii="仿宋_GB2312" w:hAnsi="仿宋_GB2312" w:cs="仿宋_GB2312" w:eastAsia="仿宋_GB2312"/>
                <w:color w:val="000000"/>
              </w:rPr>
              <w:t>证书（风险管理）、或信息安全保障人员</w:t>
            </w:r>
            <w:r>
              <w:rPr>
                <w:rFonts w:ascii="仿宋_GB2312" w:hAnsi="仿宋_GB2312" w:cs="仿宋_GB2312" w:eastAsia="仿宋_GB2312"/>
                <w:color w:val="000000"/>
              </w:rPr>
              <w:t>-CISAW</w:t>
            </w:r>
            <w:r>
              <w:rPr>
                <w:rFonts w:ascii="仿宋_GB2312" w:hAnsi="仿宋_GB2312" w:cs="仿宋_GB2312" w:eastAsia="仿宋_GB2312"/>
                <w:color w:val="000000"/>
              </w:rPr>
              <w:t>证书（应急服务）证书。</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项目技术负责人具备高级测评师证书、或具备高级信息系统项目管理师证书（软考）、或具备信息安全工程师证书（软考）、或具备网络工程师证书（软考）证书、或具备</w:t>
            </w:r>
            <w:r>
              <w:rPr>
                <w:rFonts w:ascii="仿宋_GB2312" w:hAnsi="仿宋_GB2312" w:cs="仿宋_GB2312" w:eastAsia="仿宋_GB2312"/>
                <w:sz w:val="21"/>
                <w:color w:val="000000"/>
              </w:rPr>
              <w:t>CISP-PTE</w:t>
            </w:r>
            <w:r>
              <w:rPr>
                <w:rFonts w:ascii="仿宋_GB2312" w:hAnsi="仿宋_GB2312" w:cs="仿宋_GB2312" w:eastAsia="仿宋_GB2312"/>
                <w:sz w:val="21"/>
                <w:color w:val="000000"/>
              </w:rPr>
              <w:t>证书。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服务事项的验收（考核）标准</w:t>
            </w:r>
            <w:r>
              <w:rPr>
                <w:rFonts w:ascii="仿宋_GB2312" w:hAnsi="仿宋_GB2312" w:cs="仿宋_GB2312" w:eastAsia="仿宋_GB2312"/>
                <w:sz w:val="21"/>
              </w:rPr>
              <w:t>：</w:t>
            </w:r>
            <w:r>
              <w:rPr>
                <w:rFonts w:ascii="仿宋_GB2312" w:hAnsi="仿宋_GB2312" w:cs="仿宋_GB2312" w:eastAsia="仿宋_GB2312"/>
                <w:sz w:val="21"/>
              </w:rPr>
              <w:t>按陕政数据〔</w:t>
            </w:r>
            <w:r>
              <w:rPr>
                <w:rFonts w:ascii="仿宋_GB2312" w:hAnsi="仿宋_GB2312" w:cs="仿宋_GB2312" w:eastAsia="仿宋_GB2312"/>
                <w:sz w:val="21"/>
              </w:rPr>
              <w:t>2023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号文关于印发省级政务信息化项目竣工验收管理办法（试行）的要求执行。</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标的名称：密码应用安全性评估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服务范围</w:t>
            </w:r>
            <w:r>
              <w:rPr>
                <w:rFonts w:ascii="仿宋_GB2312" w:hAnsi="仿宋_GB2312" w:cs="仿宋_GB2312" w:eastAsia="仿宋_GB2312"/>
                <w:sz w:val="21"/>
              </w:rPr>
              <w:t>。</w:t>
            </w:r>
            <w:r>
              <w:rPr>
                <w:rFonts w:ascii="仿宋_GB2312" w:hAnsi="仿宋_GB2312" w:cs="仿宋_GB2312" w:eastAsia="仿宋_GB2312"/>
                <w:sz w:val="21"/>
              </w:rPr>
              <w:t>为</w:t>
            </w:r>
            <w:r>
              <w:rPr>
                <w:rFonts w:ascii="仿宋_GB2312" w:hAnsi="仿宋_GB2312" w:cs="仿宋_GB2312" w:eastAsia="仿宋_GB2312"/>
                <w:sz w:val="21"/>
              </w:rPr>
              <w:t>陕西省成本调查监审工作平台信创适配迁移项目</w:t>
            </w:r>
            <w:r>
              <w:rPr>
                <w:rFonts w:ascii="仿宋_GB2312" w:hAnsi="仿宋_GB2312" w:cs="仿宋_GB2312" w:eastAsia="仿宋_GB2312"/>
                <w:sz w:val="21"/>
              </w:rPr>
              <w:t>提供密码应用安全性评估服务。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rPr>
              <w:t>服务内容：</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密码应用方案密评</w:t>
            </w:r>
            <w:r>
              <w:rPr>
                <w:rFonts w:ascii="仿宋_GB2312" w:hAnsi="仿宋_GB2312" w:cs="仿宋_GB2312" w:eastAsia="仿宋_GB2312"/>
              </w:rPr>
              <w:t>。</w:t>
            </w:r>
            <w:r>
              <w:rPr>
                <w:rFonts w:ascii="仿宋_GB2312" w:hAnsi="仿宋_GB2312" w:cs="仿宋_GB2312" w:eastAsia="仿宋_GB2312"/>
              </w:rPr>
              <w:t>商用密码检测机构应依据</w:t>
            </w:r>
            <w:r>
              <w:rPr>
                <w:rFonts w:ascii="仿宋_GB2312" w:hAnsi="仿宋_GB2312" w:cs="仿宋_GB2312" w:eastAsia="仿宋_GB2312"/>
              </w:rPr>
              <w:t>GB/T 39786—2021</w:t>
            </w:r>
            <w:r>
              <w:rPr>
                <w:rFonts w:ascii="仿宋_GB2312" w:hAnsi="仿宋_GB2312" w:cs="仿宋_GB2312" w:eastAsia="仿宋_GB2312"/>
              </w:rPr>
              <w:t>《信息安全技术 信息系统密码应用基本要求》和</w:t>
            </w:r>
            <w:r>
              <w:rPr>
                <w:rFonts w:ascii="仿宋_GB2312" w:hAnsi="仿宋_GB2312" w:cs="仿宋_GB2312" w:eastAsia="仿宋_GB2312"/>
              </w:rPr>
              <w:t>GM/T 0115—2021</w:t>
            </w:r>
            <w:r>
              <w:rPr>
                <w:rFonts w:ascii="仿宋_GB2312" w:hAnsi="仿宋_GB2312" w:cs="仿宋_GB2312" w:eastAsia="仿宋_GB2312"/>
              </w:rPr>
              <w:t>《信息系统密码应用测评要求》、</w:t>
            </w:r>
            <w:r>
              <w:rPr>
                <w:rFonts w:ascii="仿宋_GB2312" w:hAnsi="仿宋_GB2312" w:cs="仿宋_GB2312" w:eastAsia="仿宋_GB2312"/>
              </w:rPr>
              <w:t>GB∕T 43206-2023</w:t>
            </w:r>
            <w:r>
              <w:rPr>
                <w:rFonts w:ascii="仿宋_GB2312" w:hAnsi="仿宋_GB2312" w:cs="仿宋_GB2312" w:eastAsia="仿宋_GB2312"/>
              </w:rPr>
              <w:t>《信息安全技术 信息系统密码应用测评要求》相关技术标准，梳理系统网络拓扑、系统各安全层面保护对象，对系统密码应用方案中的安全控制措施及指标适用情况进行分析最终形成《商用密码应用安全性评估报告</w:t>
            </w:r>
            <w:r>
              <w:rPr>
                <w:rFonts w:ascii="仿宋_GB2312" w:hAnsi="仿宋_GB2312" w:cs="仿宋_GB2312" w:eastAsia="仿宋_GB2312"/>
              </w:rPr>
              <w:t>—</w:t>
            </w:r>
            <w:r>
              <w:rPr>
                <w:rFonts w:ascii="仿宋_GB2312" w:hAnsi="仿宋_GB2312" w:cs="仿宋_GB2312" w:eastAsia="仿宋_GB2312"/>
              </w:rPr>
              <w:t>方案密评报告》交付采购人。</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信息系统密评。</w:t>
            </w:r>
            <w:r>
              <w:rPr>
                <w:rFonts w:ascii="仿宋_GB2312" w:hAnsi="仿宋_GB2312" w:cs="仿宋_GB2312" w:eastAsia="仿宋_GB2312"/>
              </w:rPr>
              <w:t>商用密码检测机构依据</w:t>
            </w:r>
            <w:r>
              <w:rPr>
                <w:rFonts w:ascii="仿宋_GB2312" w:hAnsi="仿宋_GB2312" w:cs="仿宋_GB2312" w:eastAsia="仿宋_GB2312"/>
              </w:rPr>
              <w:t>GB/T 39786</w:t>
            </w:r>
            <w:r>
              <w:rPr>
                <w:rFonts w:ascii="仿宋_GB2312" w:hAnsi="仿宋_GB2312" w:cs="仿宋_GB2312" w:eastAsia="仿宋_GB2312"/>
              </w:rPr>
              <w:t>《信息安全技术 信息系统密码应用基本要求》、</w:t>
            </w:r>
            <w:r>
              <w:rPr>
                <w:rFonts w:ascii="仿宋_GB2312" w:hAnsi="仿宋_GB2312" w:cs="仿宋_GB2312" w:eastAsia="仿宋_GB2312"/>
              </w:rPr>
              <w:t>GB/T 43206</w:t>
            </w:r>
            <w:r>
              <w:rPr>
                <w:rFonts w:ascii="仿宋_GB2312" w:hAnsi="仿宋_GB2312" w:cs="仿宋_GB2312" w:eastAsia="仿宋_GB2312"/>
              </w:rPr>
              <w:t>《信息安全技术 信息系统密码应用测评要求》、</w:t>
            </w:r>
            <w:r>
              <w:rPr>
                <w:rFonts w:ascii="仿宋_GB2312" w:hAnsi="仿宋_GB2312" w:cs="仿宋_GB2312" w:eastAsia="仿宋_GB2312"/>
              </w:rPr>
              <w:t>GM/T 0016</w:t>
            </w:r>
            <w:r>
              <w:rPr>
                <w:rFonts w:ascii="仿宋_GB2312" w:hAnsi="仿宋_GB2312" w:cs="仿宋_GB2312" w:eastAsia="仿宋_GB2312"/>
              </w:rPr>
              <w:t>《信息系统密码应用测评过程指南》等技术标准和规范，通过访谈、文档审查、实地查看、配置检测、工具测试等方式，从物理和环境安全、网络和通信安全、设备和计算安全、应用和数据安全、管理制度、人员管理、建设运行、应急处置对被测信息系统进行密评，最终形成《商用密码应用安全性评估报告</w:t>
            </w:r>
            <w:r>
              <w:rPr>
                <w:rFonts w:ascii="仿宋_GB2312" w:hAnsi="仿宋_GB2312" w:cs="仿宋_GB2312" w:eastAsia="仿宋_GB2312"/>
              </w:rPr>
              <w:t>—</w:t>
            </w:r>
            <w:r>
              <w:rPr>
                <w:rFonts w:ascii="仿宋_GB2312" w:hAnsi="仿宋_GB2312" w:cs="仿宋_GB2312" w:eastAsia="仿宋_GB2312"/>
              </w:rPr>
              <w:t>系统密评报告》交付采购人。</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服务标准</w:t>
            </w:r>
            <w:r>
              <w:rPr>
                <w:rFonts w:ascii="仿宋_GB2312" w:hAnsi="仿宋_GB2312" w:cs="仿宋_GB2312" w:eastAsia="仿宋_GB2312"/>
              </w:rPr>
              <w:t>。</w:t>
            </w:r>
            <w:r>
              <w:rPr>
                <w:rFonts w:ascii="仿宋_GB2312" w:hAnsi="仿宋_GB2312" w:cs="仿宋_GB2312" w:eastAsia="仿宋_GB2312"/>
              </w:rPr>
              <w:t>依据</w:t>
            </w:r>
            <w:r>
              <w:rPr>
                <w:rFonts w:ascii="仿宋_GB2312" w:hAnsi="仿宋_GB2312" w:cs="仿宋_GB2312" w:eastAsia="仿宋_GB2312"/>
              </w:rPr>
              <w:t>GB/T 39786</w:t>
            </w:r>
            <w:r>
              <w:rPr>
                <w:rFonts w:ascii="仿宋_GB2312" w:hAnsi="仿宋_GB2312" w:cs="仿宋_GB2312" w:eastAsia="仿宋_GB2312"/>
              </w:rPr>
              <w:t>《信息安全技术 信息系统密码应用基本要求》、</w:t>
            </w:r>
            <w:r>
              <w:rPr>
                <w:rFonts w:ascii="仿宋_GB2312" w:hAnsi="仿宋_GB2312" w:cs="仿宋_GB2312" w:eastAsia="仿宋_GB2312"/>
              </w:rPr>
              <w:t>GB/T 43206</w:t>
            </w:r>
            <w:r>
              <w:rPr>
                <w:rFonts w:ascii="仿宋_GB2312" w:hAnsi="仿宋_GB2312" w:cs="仿宋_GB2312" w:eastAsia="仿宋_GB2312"/>
              </w:rPr>
              <w:t>《信息安全技术 信息系统密码应用测评要求》、</w:t>
            </w:r>
            <w:r>
              <w:rPr>
                <w:rFonts w:ascii="仿宋_GB2312" w:hAnsi="仿宋_GB2312" w:cs="仿宋_GB2312" w:eastAsia="仿宋_GB2312"/>
              </w:rPr>
              <w:t>GM/T 0016</w:t>
            </w:r>
            <w:r>
              <w:rPr>
                <w:rFonts w:ascii="仿宋_GB2312" w:hAnsi="仿宋_GB2312" w:cs="仿宋_GB2312" w:eastAsia="仿宋_GB2312"/>
              </w:rPr>
              <w:t>《信息系统密码应用测评过程指南》《信息系统密码应用高风险判定指引》《商用密码应用安全性评估量化评估规则》等技术标准和规范对系统进行评估，密码应用测评须满足合规性、正确性、有效性。</w:t>
            </w:r>
          </w:p>
          <w:p>
            <w:pPr>
              <w:pStyle w:val="null3"/>
            </w:pPr>
            <w:r>
              <w:rPr>
                <w:rFonts w:ascii="仿宋_GB2312" w:hAnsi="仿宋_GB2312" w:cs="仿宋_GB2312" w:eastAsia="仿宋_GB2312"/>
                <w:sz w:val="21"/>
              </w:rPr>
              <w:t>4.</w:t>
            </w:r>
            <w:r>
              <w:rPr>
                <w:rFonts w:ascii="仿宋_GB2312" w:hAnsi="仿宋_GB2312" w:cs="仿宋_GB2312" w:eastAsia="仿宋_GB2312"/>
                <w:sz w:val="21"/>
              </w:rPr>
              <w:t>服务期限。</w:t>
            </w:r>
            <w:r>
              <w:rPr>
                <w:rFonts w:ascii="仿宋_GB2312" w:hAnsi="仿宋_GB2312" w:cs="仿宋_GB2312" w:eastAsia="仿宋_GB2312"/>
                <w:sz w:val="21"/>
              </w:rPr>
              <w:t>合同签订后至整个项目验收交付完成。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both"/>
            </w:pPr>
            <w:r>
              <w:rPr>
                <w:rFonts w:ascii="仿宋_GB2312" w:hAnsi="仿宋_GB2312" w:cs="仿宋_GB2312" w:eastAsia="仿宋_GB2312"/>
              </w:rPr>
              <w:t>服务人员数量及组成：</w:t>
            </w:r>
          </w:p>
          <w:p>
            <w:pPr>
              <w:pStyle w:val="null3"/>
              <w:ind w:firstLine="400"/>
              <w:jc w:val="both"/>
            </w:pP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000000"/>
              </w:rPr>
              <w:t>项目经理</w:t>
            </w:r>
            <w:r>
              <w:rPr>
                <w:rFonts w:ascii="仿宋_GB2312" w:hAnsi="仿宋_GB2312" w:cs="仿宋_GB2312" w:eastAsia="仿宋_GB2312"/>
                <w:color w:val="000000"/>
              </w:rPr>
              <w:t>。</w:t>
            </w:r>
            <w:r>
              <w:rPr>
                <w:rFonts w:ascii="仿宋_GB2312" w:hAnsi="仿宋_GB2312" w:cs="仿宋_GB2312" w:eastAsia="仿宋_GB2312"/>
                <w:color w:val="000000"/>
              </w:rPr>
              <w:t>通过国家密码管理局商用密码检测中心的商用密码应用安全性评估人员测评能力考核；或具有注册信息安全专业人员（</w:t>
            </w:r>
            <w:r>
              <w:rPr>
                <w:rFonts w:ascii="仿宋_GB2312" w:hAnsi="仿宋_GB2312" w:cs="仿宋_GB2312" w:eastAsia="仿宋_GB2312"/>
                <w:color w:val="000000"/>
              </w:rPr>
              <w:t>CISP</w:t>
            </w:r>
            <w:r>
              <w:rPr>
                <w:rFonts w:ascii="仿宋_GB2312" w:hAnsi="仿宋_GB2312" w:cs="仿宋_GB2312" w:eastAsia="仿宋_GB2312"/>
                <w:color w:val="000000"/>
              </w:rPr>
              <w:t>）；或具有信息系统项目管理师（高级）证书；或具有信息安全保障人员认证证书</w:t>
            </w:r>
            <w:r>
              <w:rPr>
                <w:rFonts w:ascii="仿宋_GB2312" w:hAnsi="仿宋_GB2312" w:cs="仿宋_GB2312" w:eastAsia="仿宋_GB2312"/>
                <w:color w:val="000000"/>
              </w:rPr>
              <w:t>CISAW</w:t>
            </w:r>
            <w:r>
              <w:rPr>
                <w:rFonts w:ascii="仿宋_GB2312" w:hAnsi="仿宋_GB2312" w:cs="仿宋_GB2312" w:eastAsia="仿宋_GB2312"/>
                <w:color w:val="000000"/>
              </w:rPr>
              <w:t>（注册方向：风险管理专业级）。注：上述人员需提供资格证书扫描件加盖公章及近半年来在本单位缴纳的社保证明加盖公章。</w:t>
            </w:r>
          </w:p>
          <w:p>
            <w:pPr>
              <w:pStyle w:val="null3"/>
              <w:ind w:firstLine="400"/>
              <w:jc w:val="both"/>
            </w:pP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color w:val="000000"/>
              </w:rPr>
              <w:t>项目组技术人员（除项目经理外）</w:t>
            </w:r>
            <w:r>
              <w:rPr>
                <w:rFonts w:ascii="仿宋_GB2312" w:hAnsi="仿宋_GB2312" w:cs="仿宋_GB2312" w:eastAsia="仿宋_GB2312"/>
                <w:color w:val="000000"/>
              </w:rPr>
              <w:t>。</w:t>
            </w:r>
            <w:r>
              <w:rPr>
                <w:rFonts w:ascii="仿宋_GB2312" w:hAnsi="仿宋_GB2312" w:cs="仿宋_GB2312" w:eastAsia="仿宋_GB2312"/>
                <w:color w:val="000000"/>
              </w:rPr>
              <w:t>通过国家密码管理局商用密码检测中心的商用密码应用安全性评估人员测评能力考</w:t>
            </w:r>
            <w:r>
              <w:rPr>
                <w:rFonts w:ascii="仿宋_GB2312" w:hAnsi="仿宋_GB2312" w:cs="仿宋_GB2312" w:eastAsia="仿宋_GB2312"/>
                <w:color w:val="000000"/>
              </w:rPr>
              <w:t>核</w:t>
            </w:r>
            <w:r>
              <w:rPr>
                <w:rFonts w:ascii="仿宋_GB2312" w:hAnsi="仿宋_GB2312" w:cs="仿宋_GB2312" w:eastAsia="仿宋_GB2312"/>
                <w:color w:val="000000"/>
              </w:rPr>
              <w:t>；或具有注册信息安全专业人员证书（</w:t>
            </w:r>
            <w:r>
              <w:rPr>
                <w:rFonts w:ascii="仿宋_GB2312" w:hAnsi="仿宋_GB2312" w:cs="仿宋_GB2312" w:eastAsia="仿宋_GB2312"/>
                <w:color w:val="000000"/>
              </w:rPr>
              <w:t>CISP</w:t>
            </w:r>
            <w:r>
              <w:rPr>
                <w:rFonts w:ascii="仿宋_GB2312" w:hAnsi="仿宋_GB2312" w:cs="仿宋_GB2312" w:eastAsia="仿宋_GB2312"/>
                <w:color w:val="000000"/>
              </w:rPr>
              <w:t>）。注：上述人员需提供资格证书扫描件加盖公章及近半年来在本单位缴纳的社保证明加盖公章。</w:t>
            </w:r>
          </w:p>
          <w:p>
            <w:pPr>
              <w:pStyle w:val="null3"/>
              <w:ind w:firstLine="40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团队支撑人员（除项目组其他成员）</w:t>
            </w:r>
            <w:r>
              <w:rPr>
                <w:rFonts w:ascii="仿宋_GB2312" w:hAnsi="仿宋_GB2312" w:cs="仿宋_GB2312" w:eastAsia="仿宋_GB2312"/>
                <w:sz w:val="21"/>
                <w:color w:val="000000"/>
              </w:rPr>
              <w:t>。</w:t>
            </w:r>
            <w:r>
              <w:rPr>
                <w:rFonts w:ascii="仿宋_GB2312" w:hAnsi="仿宋_GB2312" w:cs="仿宋_GB2312" w:eastAsia="仿宋_GB2312"/>
                <w:sz w:val="21"/>
                <w:color w:val="000000"/>
              </w:rPr>
              <w:t>通过国家密码管理局商用密码检测中心的商用密码应用安全性评估人员测评能力考</w:t>
            </w:r>
            <w:r>
              <w:rPr>
                <w:rFonts w:ascii="仿宋_GB2312" w:hAnsi="仿宋_GB2312" w:cs="仿宋_GB2312" w:eastAsia="仿宋_GB2312"/>
                <w:sz w:val="21"/>
                <w:color w:val="000000"/>
              </w:rPr>
              <w:t>核</w:t>
            </w:r>
            <w:r>
              <w:rPr>
                <w:rFonts w:ascii="仿宋_GB2312" w:hAnsi="仿宋_GB2312" w:cs="仿宋_GB2312" w:eastAsia="仿宋_GB2312"/>
                <w:sz w:val="21"/>
                <w:color w:val="000000"/>
              </w:rPr>
              <w:t>；或具有商用密码数据存储与灾难恢复工程师证书；或具有数据安全认证专家</w:t>
            </w:r>
            <w:r>
              <w:rPr>
                <w:rFonts w:ascii="仿宋_GB2312" w:hAnsi="仿宋_GB2312" w:cs="仿宋_GB2312" w:eastAsia="仿宋_GB2312"/>
                <w:sz w:val="21"/>
                <w:color w:val="000000"/>
              </w:rPr>
              <w:t>CDSP</w:t>
            </w:r>
            <w:r>
              <w:rPr>
                <w:rFonts w:ascii="仿宋_GB2312" w:hAnsi="仿宋_GB2312" w:cs="仿宋_GB2312" w:eastAsia="仿宋_GB2312"/>
                <w:sz w:val="21"/>
                <w:color w:val="000000"/>
              </w:rPr>
              <w:t>证书。注：上述人员需提供资格证书扫描件加盖公章及近半年来在本单位缴纳的社保证明加盖公章。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服务事项的验收（考核）标准</w:t>
            </w:r>
            <w:r>
              <w:rPr>
                <w:rFonts w:ascii="仿宋_GB2312" w:hAnsi="仿宋_GB2312" w:cs="仿宋_GB2312" w:eastAsia="仿宋_GB2312"/>
                <w:sz w:val="21"/>
              </w:rPr>
              <w:t>。</w:t>
            </w:r>
            <w:r>
              <w:rPr>
                <w:rFonts w:ascii="仿宋_GB2312" w:hAnsi="仿宋_GB2312" w:cs="仿宋_GB2312" w:eastAsia="仿宋_GB2312"/>
                <w:sz w:val="21"/>
              </w:rPr>
              <w:t>按陕政数据〔</w:t>
            </w:r>
            <w:r>
              <w:rPr>
                <w:rFonts w:ascii="仿宋_GB2312" w:hAnsi="仿宋_GB2312" w:cs="仿宋_GB2312" w:eastAsia="仿宋_GB2312"/>
                <w:sz w:val="21"/>
              </w:rPr>
              <w:t>2023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号文关于印发省级政务信息化项目竣工验收管理办法（试行）的要求执行。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详见招标文件服务要求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详见招标文件服务要求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合同签订后8个月内。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合同签订后至整个项目验收交付完成。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合同签订后至整个项目验收交付完成。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合同签订后至整个项目验收交付完成。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合同签订后至整个项目验收交付完成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合同签订后至整个项目验收交付完成。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签订合同后支付建设费用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终验后支付建设费用，同时，需继续配合完成项目档案验收、竣工验收等工作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签订合同后支付监理费用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终验后支付监理费用，同时，需继续配合完成项目档案验收、竣工验收等工作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签订合同后支付审计费用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终验后支付审计费用，同时，需继续配合完成项目档案验收、竣工验收等工作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签订合同后支付测试费用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终验后支付测试费用，同时，需继续配合完成项目档案验收、竣工验收等工作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签订合同后支付测评费用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终验后支付测评费用，同时，需继续配合完成项目档案验收、竣工验收等工作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签订合同后支付评估费用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终验后支付评估费用，同时，需继续配合完成项目档案验收、竣工验收等工作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按《民法典》中的相关条款和本合同的约定执行。未按合同或招标文件要求提供产品或供应的产品质量不能满足招标人技术要求，招标人有权终止合同，甚至对投标人违约行为进行追究。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按《民法典》中的相关条款和本合同的约定执行。未按合同或招标文件要求提供产品或供应的产品质量不能满足招标人技术要求，招标人有权终止合同，甚至对投标人违约行为进行追究。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按《民法典》中的相关条款和本合同的约定执行。未按合同或招标文件要求提供产品或供应的产品质量不能满足招标人技术要求，招标人有权终止合同，甚至对投标人违约行为进行追究。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按《民法典》中的相关条款和本合同的约定执行。未按合同或招标文件要求提供产品或供应的产品质量不能满足招标人技术要求，招标人有权终止合同，甚至对投标人违约行为进行追究。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按《民法典》中的相关条款和本合同的约定执行。未按合同或招标文件要求提供产品或供应的产品质量不能满足招标人技术要求，招标人有权终止合同，甚至对投标人违约行为进行追究。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按《民法典》中的相关条款和本合同的约定执行。未按合同或招标文件要求提供产品或供应的产品质量不能满足招标人技术要求，招标人有权终止合同，甚至对投标人违约行为进行追究。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及近三个月社保参保证明（附在资格证明文件中）；法定代表人授权他人参加投标的，须提供法定代表人授权委托书及被授权人近三个月社保参保证明（按格式填写，提供原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供应商具备会计师事务所执业证书。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供应商须具有《中国合格评定国家认可委员会检验机构认可证书CNAS》证书或市场监督管理部门颁发的CMA《检验检测机构资质证书》，提供资质扫描件并加盖公章。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供应商具有国家认证机构公安部第三研究所颁发的《网络安全服务认证证书等级保护测评服务认证》，提供资质扫描件并加盖公章；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提供经审计的2024年度或2025年度的财务报告或提交响应文件截止时间前六个月内其基本账户开户银行出具的资信证明（附开户许可证或开户备案证明）；其他组织和自然人提供银行出具的资信证明或财务报表；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具有履行合同所必须的设备和专业技术能力的说明及承诺；</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行业证书</w:t>
            </w:r>
          </w:p>
        </w:tc>
        <w:tc>
          <w:tcPr>
            <w:tcW w:type="dxa" w:w="3322"/>
          </w:tcPr>
          <w:p>
            <w:pPr>
              <w:pStyle w:val="null3"/>
            </w:pPr>
            <w:r>
              <w:rPr>
                <w:rFonts w:ascii="仿宋_GB2312" w:hAnsi="仿宋_GB2312" w:cs="仿宋_GB2312" w:eastAsia="仿宋_GB2312"/>
              </w:rPr>
              <w:t>供应商须具备国家密码管理部门同意其开展商用密码应用安全性评估的证明资料，或在国家密码管理局的《商用密码应用安全性评估试点机构目录》内，供应商提供证明资料扫描件并加盖公章。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投标人需具备信息系统服务及软件开发能力，具有有效期内的信息系统建设和服务能力评估体系二级及以上软件企业证书，提供证书得2分，不提供得0分。注：投标人须提供项目公告发布之日前取得的证书复印件或扫描件，否则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自2023年1月1日至今完成的类似软件开发业绩（须提供与用户签订的合同首页、总价所在页、服务内容所在页、签字盖章页等关键页扫描件）。每提供1个业绩得2分，满分10分。（同一业主的多个合同按一个计算，提供项目中标通知书或合同复印件，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拟派项目负责人具有信息系统项目管理师证书，得2分；拟派项目经理具有IT服务项目经理证书，得2分满分4分。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本项目采购需求提供重难点分析。10分：需求理解透彻，精准抓本质；重难点全覆盖、分析准；措施可行能落地；完全保障项目目标实现。8分：需求理解准确，仅非关键细节微偏差；核心重难点识别准，次要难点挖掘稍浅；措施整体可行，微调即适配；有效支撑项目目标，风险可控。6分：需求理解不足，关键细节有遗漏；重难点识别全但分析笼统；措施方向对，需优化才适配；仅满足最低需求，存潜在风险。4分：需求理解片面，核心诉求偏差大；重难点识别不全、偏离实际；措施无针对性，难支撑推进；不符核心需求，存显著风险。2分：需求理解严重错，重难点分析无关，措施无意义；完全无法满足需求，致目标停滞。0分：未提供任何相关内容，无法支撑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1.项目现状与需求分析（5分）。对项目现状分析全面准确，理解深刻，能结合项目管理实际提出针对性问题的，得5分；现状分析基本到位，对核心需求理解清晰但缺乏深度，得3分；现状分析简略，需求理解存在一定偏差，得1分；未体现现状分析，需求理解严重偏离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2.整体建设方案与架构设计（5分）。整体建设方案科学合理，完全契合项目全生命周期管理目标，提供清晰规范的系统架构图（需包含业务架构、技术架构、数据架构），架构设计体现数字化、智能化特点，各层级关系清晰，得5分；整体方案基本可行，核心架构合理，提供了系统架构图但完整性不足（缺少1种架构），得3分；方案可行性一般，对项目目标支撑有限，架构图简略或逻辑不清晰，得1分；无整体建设方案或架构图，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3.模块功能与流程设计（5分）。对项目管理、年度项目管理、要素保障等模块功能描述完整准确，各项功能流程设计符合业务逻辑，体现精细化管理和闭环管理要求的，得5分；模块功能描述基本完整，核心流程设计合理但细节不够完善，得3分；模块功能描述不完整，部分流程设计与需求不符，得1分；未体现模块功能与流程设计，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1.评审内容。针对本项目提出适用于本项目的实施方案，包括：（1）项目开发实施部署；（2）对接方案；（3）试运行方案；（4）验收方案。 2.评审标准。（1）完整性：方案必须全面，对评审内容中的各项要求有详细描述；（2）可实施性：切合本项目实际情况，提出步骤清晰、合理的方案；（3）针对性：方案能够紧扣项目实际情况，内容科学合理。 3.赋分标准（满分18分）。（1）项目开发实施部署：每完全满足一个评审标准得1.5分，满分4.5分；（2）对接方案：每完全满足一个评审标准得1.5分，满分4.5分；（3）试运行方案：每完全满足一个评审标准得1.5分，满分4.5分；（4）验收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拟派团队情况</w:t>
            </w:r>
          </w:p>
        </w:tc>
        <w:tc>
          <w:tcPr>
            <w:tcW w:type="dxa" w:w="2492"/>
          </w:tcPr>
          <w:p>
            <w:pPr>
              <w:pStyle w:val="null3"/>
            </w:pPr>
            <w:r>
              <w:rPr>
                <w:rFonts w:ascii="仿宋_GB2312" w:hAnsi="仿宋_GB2312" w:cs="仿宋_GB2312" w:eastAsia="仿宋_GB2312"/>
              </w:rPr>
              <w:t>1.评审内容。针对本项目提出适用于本项目的人员配备方案，包括：（1）人员机构设置；（2）职责分工；（3）信息处理流程。 2.评审标准。（1）完整性：方案必须全面，对评审内容中的各项要求有详细描述；（2）可实施性：切合本项目实际情况，提出步骤清晰、合理的方案；（3）针对性：方案能够紧扣项目实际情况，内容科学合理。 3.赋分标准（满分6分）。（1）人员机构设置：每完全满足一个评审标准得0.5分，满分1.5分；（2）职责分工：每完全满足一个评审标准得0.5分，满分1.5分；（3）信息处理流程：每完全满足一个评审标准得0.5分，满分1.5分；（4）投标人拟安排的项目团队主要成员（除项目经理外至少同时配备PMP项目管理专业人员证书、软件设计师证书、注册信息安全人员（CISP），每提供一名上述持证人员加0.5分，满分1.5分。（须提供证书复印件或扫描件；同一人的多份证书只计一份；提供持证人员在投标单位的近3个月社保缴纳记录，在资格证明部分提供了上述人员社保的不需再次提供；材料提供不齐全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采购需求制定售后服务方案。10分：设计高度契合需求，能预判各类售后问题；内容详实覆盖全模块，含数据支撑；措施完善有应急及增值服务；可操作性强，可直接落地。8分：设计符合需求，覆盖常见售后场景；内容详实含核心模块，细节略有欠缺；常规措施齐全，应急与增值服务待完善；可操作性较强，个别环节需优化。6分：设计基本合理，匹配度一般，特殊场景考虑不足；内容含关键模块但笼统，缺数据与细节；常规措施有缺失，应急流程不细化；可操作性一般，需调整才能落地。3分：设计合理性不足，匹配度低，未充分考虑需求；内容简略仅提少数模块，关键信息缺失；措施缺失多，无有效应急方案；可操作性差，需大量补充调整。0分：未提供方案，或内容与需求无关，无售后核心要素，无法指导工作。</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本项目采购需求制定培训方案。5分：培训方案内容详实且系统全面，逻辑严谨；计划安排科学合理，细节完备，时间与资源分配精准；与项目需求高度契合，能深度匹配核心目标；可实施性极强，具备成熟的落地保障措施。4分：培训方案内容完整，框架清晰；计划安排较为科学，流程顺畅，时间与资源分配合理；与项目需求契合度较高，能覆盖主要目标；可实施性较强，落地条件基本成熟。3分：培训方案内容基本完整，核心要素无缺失；计划安排基本合理，流程无明显漏洞；与项目需求较为匹配，能满足基础目标；具备一定可操作性，需小幅调整即可推进。2分：培训方案内容较为简略，核心要素不够完善；计划安排合理性一般，存在流程衔接或资源分配问题；与项目需求契合度不高，部分内容偏离目标；可实施性较弱，需较大调整才能推进。1分：培训方案内容零散残缺，缺乏核心框架；计划安排混乱，无明确逻辑与合理规划；与项目需求严重脱节，无法支撑目标实现；基本不具备可实施性。0分：未提供培训方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本项目特点，制订系统化保密管理方案，内容包括但不限于人员管理与系统安全等方面。5分：贴合项目特点，体系完整逻辑严，覆盖全维度；措施详实具体，可直接落地，风险防控力强。4分：符合项目特点，体系较完整；措施充实，可行性强，能满足日常需求。3分：基本匹配项目，体系框架成型；措施较全面，机制略有瑕疵，可应对常规场景。2分：契合度一般，体系不完整，关键内容有缺失；措施简单，可操作性弱，仅满足基础要求。1分：与项目脱节，体系混乱，措施笼统，无操作性。0分：未提供任何保密措施。</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制订应急预案。5分：应急预案内容全面且详实，完整覆盖项目全流程潜在风险，无遗漏或盲区；应对措施设计科学严谨、逻辑清晰，与项目实际应用场景高度契合，具备极强的可操作性，可直接指导现场应急处置工作。4分：应急预案内容较为全面，核心风险均已覆盖，仅在个别次要风险点存在不足；措施设计合理可行，与实际场景匹配度较高，具备较强的可操作性，虽在细节优化或流程衔接上有提升空间，但不影响整体应急响应效果。3分：应急预案内容基本完整，包含主要风险类别及对应应对措施，合理性和可操作性尚可；但在系统性统筹、细节打磨上存在明显不足，需进一步完善才能更好适配实际需求。2分：应急预案内容简略，仅罗列部分核心风险，覆盖范围较窄；应对措施表述笼统，缺乏具体实施路径和针对性，与项目实际场景匹配度低，可操作性较弱，难以有效支撑应急处置工作。1分：未提供完整应急预案内容，或仅存在碎片化、概念性描述，无明确风险识别和具体应对措施，完全不具备实际应用价值。0分：未提供任何应急预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的投标人的报价为评标基准价，其价格分为满分。其他投标人的价格分统一按照下列公式计算：报价得分=（评标基准价/投标报价）×10。说明：最低报价不是中标的唯一依据。此处投标报价指经过报价修正，及因落实政府采购政策进行价格调整后的报价。报价不完整的，不进入评标基准价的计算，本项得0分。经评审小组一致认定，投标人的总报价低于公认市场成本，或超过采购预算，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项目整体理解程度。供应商对该项目的总体把握和理解，包括针对该项目建设内容、技术方案、项目特点、监理难点的理解和分析准确，符合项目实际情况。对项目把握和理解到位、分析准确，得10分；对项目把握和理解一般、分析一般，得7分；对项目把握和理解不到位、分析不全面，得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质量控制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进度控制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投资控制</w:t>
            </w:r>
          </w:p>
        </w:tc>
        <w:tc>
          <w:tcPr>
            <w:tcW w:type="dxa" w:w="2492"/>
          </w:tcPr>
          <w:p>
            <w:pPr>
              <w:pStyle w:val="null3"/>
            </w:pPr>
            <w:r>
              <w:rPr>
                <w:rFonts w:ascii="仿宋_GB2312" w:hAnsi="仿宋_GB2312" w:cs="仿宋_GB2312" w:eastAsia="仿宋_GB2312"/>
              </w:rPr>
              <w:t>投资控制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变更控制</w:t>
            </w:r>
          </w:p>
        </w:tc>
        <w:tc>
          <w:tcPr>
            <w:tcW w:type="dxa" w:w="2492"/>
          </w:tcPr>
          <w:p>
            <w:pPr>
              <w:pStyle w:val="null3"/>
            </w:pPr>
            <w:r>
              <w:rPr>
                <w:rFonts w:ascii="仿宋_GB2312" w:hAnsi="仿宋_GB2312" w:cs="仿宋_GB2312" w:eastAsia="仿宋_GB2312"/>
              </w:rPr>
              <w:t>变更控制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合同管理</w:t>
            </w:r>
          </w:p>
        </w:tc>
        <w:tc>
          <w:tcPr>
            <w:tcW w:type="dxa" w:w="2492"/>
          </w:tcPr>
          <w:p>
            <w:pPr>
              <w:pStyle w:val="null3"/>
            </w:pPr>
            <w:r>
              <w:rPr>
                <w:rFonts w:ascii="仿宋_GB2312" w:hAnsi="仿宋_GB2312" w:cs="仿宋_GB2312" w:eastAsia="仿宋_GB2312"/>
              </w:rPr>
              <w:t>合同管理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信息管理</w:t>
            </w:r>
          </w:p>
        </w:tc>
        <w:tc>
          <w:tcPr>
            <w:tcW w:type="dxa" w:w="2492"/>
          </w:tcPr>
          <w:p>
            <w:pPr>
              <w:pStyle w:val="null3"/>
            </w:pPr>
            <w:r>
              <w:rPr>
                <w:rFonts w:ascii="仿宋_GB2312" w:hAnsi="仿宋_GB2312" w:cs="仿宋_GB2312" w:eastAsia="仿宋_GB2312"/>
              </w:rPr>
              <w:t>信息管理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安全管理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需求管理</w:t>
            </w:r>
          </w:p>
        </w:tc>
        <w:tc>
          <w:tcPr>
            <w:tcW w:type="dxa" w:w="2492"/>
          </w:tcPr>
          <w:p>
            <w:pPr>
              <w:pStyle w:val="null3"/>
            </w:pPr>
            <w:r>
              <w:rPr>
                <w:rFonts w:ascii="仿宋_GB2312" w:hAnsi="仿宋_GB2312" w:cs="仿宋_GB2312" w:eastAsia="仿宋_GB2312"/>
              </w:rPr>
              <w:t>需求管理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测试管理</w:t>
            </w:r>
          </w:p>
        </w:tc>
        <w:tc>
          <w:tcPr>
            <w:tcW w:type="dxa" w:w="2492"/>
          </w:tcPr>
          <w:p>
            <w:pPr>
              <w:pStyle w:val="null3"/>
            </w:pPr>
            <w:r>
              <w:rPr>
                <w:rFonts w:ascii="仿宋_GB2312" w:hAnsi="仿宋_GB2312" w:cs="仿宋_GB2312" w:eastAsia="仿宋_GB2312"/>
              </w:rPr>
              <w:t>测试管理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组织协调</w:t>
            </w:r>
          </w:p>
        </w:tc>
        <w:tc>
          <w:tcPr>
            <w:tcW w:type="dxa" w:w="2492"/>
          </w:tcPr>
          <w:p>
            <w:pPr>
              <w:pStyle w:val="null3"/>
            </w:pPr>
            <w:r>
              <w:rPr>
                <w:rFonts w:ascii="仿宋_GB2312" w:hAnsi="仿宋_GB2312" w:cs="仿宋_GB2312" w:eastAsia="仿宋_GB2312"/>
              </w:rPr>
              <w:t>组织协调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验收管理</w:t>
            </w:r>
          </w:p>
        </w:tc>
        <w:tc>
          <w:tcPr>
            <w:tcW w:type="dxa" w:w="2492"/>
          </w:tcPr>
          <w:p>
            <w:pPr>
              <w:pStyle w:val="null3"/>
            </w:pPr>
            <w:r>
              <w:rPr>
                <w:rFonts w:ascii="仿宋_GB2312" w:hAnsi="仿宋_GB2312" w:cs="仿宋_GB2312" w:eastAsia="仿宋_GB2312"/>
              </w:rPr>
              <w:t>验收管理方案。（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监理资料</w:t>
            </w:r>
          </w:p>
        </w:tc>
        <w:tc>
          <w:tcPr>
            <w:tcW w:type="dxa" w:w="2492"/>
          </w:tcPr>
          <w:p>
            <w:pPr>
              <w:pStyle w:val="null3"/>
            </w:pPr>
            <w:r>
              <w:rPr>
                <w:rFonts w:ascii="仿宋_GB2312" w:hAnsi="仿宋_GB2312" w:cs="仿宋_GB2312" w:eastAsia="仿宋_GB2312"/>
              </w:rPr>
              <w:t>监理过程资料输出。（1）方案完善，分析全面，具有很强的合理性和可操作性，计5分；（2）方案较完善，分析到位，具有较强的合理性和可操作性，计3分；（3）方案一般，分析不足，没有合理性和可操作性，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监理服务保障</w:t>
            </w:r>
          </w:p>
        </w:tc>
        <w:tc>
          <w:tcPr>
            <w:tcW w:type="dxa" w:w="2492"/>
          </w:tcPr>
          <w:p>
            <w:pPr>
              <w:pStyle w:val="null3"/>
            </w:pPr>
            <w:r>
              <w:rPr>
                <w:rFonts w:ascii="仿宋_GB2312" w:hAnsi="仿宋_GB2312" w:cs="仿宋_GB2312" w:eastAsia="仿宋_GB2312"/>
              </w:rPr>
              <w:t>针对本项目监理提供工作建议、监理服务制度及快速及时的服务响应承诺；内容可操作性强、有实际使用价值计8分，可操作性一般、较有实际使用价值计4分；可操作性一般，没有合理性和可操作性，计0分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供应商提供2022年1月1日以来类似项目业绩证明文件，每提供一份业绩计1分，满分5分。未提供不计分。（以合同签订时间为准）。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具有信息系统监理师证书，同时具有信息系统项目管理师，得2分。注：需提供资格证书扫描件和近半年内连续三个月在本单位缴纳社保的证明，并加盖公章。缺项不计分。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项目监理服务团队</w:t>
            </w:r>
          </w:p>
        </w:tc>
        <w:tc>
          <w:tcPr>
            <w:tcW w:type="dxa" w:w="2492"/>
          </w:tcPr>
          <w:p>
            <w:pPr>
              <w:pStyle w:val="null3"/>
            </w:pPr>
            <w:r>
              <w:rPr>
                <w:rFonts w:ascii="仿宋_GB2312" w:hAnsi="仿宋_GB2312" w:cs="仿宋_GB2312" w:eastAsia="仿宋_GB2312"/>
              </w:rPr>
              <w:t>监理服务团队人员不少于3人，服务团队结构合理、分工明确、技术能力强，有相关资格证书。（1）工程师必须具有信息系统监理师资格证书，在此基础上具备信息系统项目管理师、软件工程造价师每提供1个得1分，满分3分；（2）人员充裕，分工明确，配备合理得2分；（3）人员基本满足要求，配备一般得1分；（4）人员配备未提供得0分。注：需提供团队人员简介、证书、岗位职责等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总报价为有效报价。2.满足文件实质性要求且总报价最低的供应商的投标总报价为基准价，其价格分为满分10分。3.报价得分=（基准价/总报价）×10的公式计算得分。4.报价不完整的，不计入评标标准价的计算，本项得0分。5.经评审小组一致认定，供应商的总报价低于公认市场成本，或超过采购预算，其响应将被拒绝。6.本项目为专门面向中小企业采购，故不参与政策性扣减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整体理解方案</w:t>
            </w:r>
          </w:p>
        </w:tc>
        <w:tc>
          <w:tcPr>
            <w:tcW w:type="dxa" w:w="2492"/>
          </w:tcPr>
          <w:p>
            <w:pPr>
              <w:pStyle w:val="null3"/>
            </w:pPr>
            <w:r>
              <w:rPr>
                <w:rFonts w:ascii="仿宋_GB2312" w:hAnsi="仿宋_GB2312" w:cs="仿宋_GB2312" w:eastAsia="仿宋_GB2312"/>
              </w:rPr>
              <w:t>供应商提供针对本项目的整体理解方案。1.充分理解本项目服务需求对项目现状和整体认知的理解，服务理念、工作目标、整体设想和策划完善，思路清晰明确得6分；2.理解方案完整合理，但还有可以优化空间得4分；3.方案内容有缺陷、表述前后不一致、套用其他项目方案或与项目需求匹配性差得2分；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方案至少包含：1.质量控制保障措施；2.按照采购人的质量要求出具成果，专项审计工作流程及工作要点；3.审计程序及方法；4.可预见项目存在的问题。方案各项内容全面详细、阐述条理清晰、技术先进、功能配置合理，能有效保障本项目实施，每有一项缺项扣3分，每有一处内容存在缺陷，扣1分，扣完为止。备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具体实施方案</w:t>
            </w:r>
          </w:p>
        </w:tc>
        <w:tc>
          <w:tcPr>
            <w:tcW w:type="dxa" w:w="2492"/>
          </w:tcPr>
          <w:p>
            <w:pPr>
              <w:pStyle w:val="null3"/>
            </w:pPr>
            <w:r>
              <w:rPr>
                <w:rFonts w:ascii="仿宋_GB2312" w:hAnsi="仿宋_GB2312" w:cs="仿宋_GB2312" w:eastAsia="仿宋_GB2312"/>
              </w:rPr>
              <w:t>针对本项目的结决算审计服务阐述具体实施方案。1.实施方案全面具体，内容完整，条理清晰得10分。2.实施方案有针对性，但还有可以优化空间得7分。3.方案虽有内容但不完善、内容表述前后不一致、与项目需求不匹配及其他不利于项目实施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进度保证措施方案至少包含：1.对结决算审计服务的进度保证措施；2.有完整的工作大纲、工作计划、工作时效；3.关键节点安排。方案各项内容全面详细、阐述条理清晰、技术先进、功能配置合理，能有效保障本项目实施，每有一项缺项扣3分，每有一处内容存在缺陷，扣1分，扣完为止。备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重难点梳理</w:t>
            </w:r>
          </w:p>
        </w:tc>
        <w:tc>
          <w:tcPr>
            <w:tcW w:type="dxa" w:w="2492"/>
          </w:tcPr>
          <w:p>
            <w:pPr>
              <w:pStyle w:val="null3"/>
            </w:pPr>
            <w:r>
              <w:rPr>
                <w:rFonts w:ascii="仿宋_GB2312" w:hAnsi="仿宋_GB2312" w:cs="仿宋_GB2312" w:eastAsia="仿宋_GB2312"/>
              </w:rPr>
              <w:t>对专项审计的重难点梳理。1.熟悉结决算审计服务项目，对重难点梳理清晰、全面，有针对性措施，措施具体得6分；2.了解结决算审计服务项目，对重难点分析有针对性，但还有可以优化空间得4分；3.项目重点难点分析虽有内容但不完善、内容表述前后不一致、存在逻辑漏洞、科学原理或常识错误，与项目需求不匹配及其他不利于项目实施得2分；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预见性建议</w:t>
            </w:r>
          </w:p>
        </w:tc>
        <w:tc>
          <w:tcPr>
            <w:tcW w:type="dxa" w:w="2492"/>
          </w:tcPr>
          <w:p>
            <w:pPr>
              <w:pStyle w:val="null3"/>
            </w:pPr>
            <w:r>
              <w:rPr>
                <w:rFonts w:ascii="仿宋_GB2312" w:hAnsi="仿宋_GB2312" w:cs="仿宋_GB2312" w:eastAsia="仿宋_GB2312"/>
              </w:rPr>
              <w:t>对项目实施过程中能提供预见性建议。1.合理化建议全面、合理，可行性高、针对性强得5分；2.合理化建议有针对性，但还有可以优化空间得3分；3.合理化建议虽有内容但不完善、内容表述前后不一致、与项目需求不匹配及其他不利于项目实施得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应急服务承诺及措施</w:t>
            </w:r>
          </w:p>
        </w:tc>
        <w:tc>
          <w:tcPr>
            <w:tcW w:type="dxa" w:w="2492"/>
          </w:tcPr>
          <w:p>
            <w:pPr>
              <w:pStyle w:val="null3"/>
            </w:pPr>
            <w:r>
              <w:rPr>
                <w:rFonts w:ascii="仿宋_GB2312" w:hAnsi="仿宋_GB2312" w:cs="仿宋_GB2312" w:eastAsia="仿宋_GB2312"/>
              </w:rPr>
              <w:t>针对在审核工作中，因特殊情况对审核时限的要求有特殊的应急服务承诺及措施。1.内容梳理清晰、全面，有针对性措施得5分；2.内容有针对性，但还有可以优化空间得3分；3.虽有内容但不完善、内容表述前后不一致、与项目需求不匹配及其他不利于项目实施得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档案管理制度方案</w:t>
            </w:r>
          </w:p>
        </w:tc>
        <w:tc>
          <w:tcPr>
            <w:tcW w:type="dxa" w:w="2492"/>
          </w:tcPr>
          <w:p>
            <w:pPr>
              <w:pStyle w:val="null3"/>
            </w:pPr>
            <w:r>
              <w:rPr>
                <w:rFonts w:ascii="仿宋_GB2312" w:hAnsi="仿宋_GB2312" w:cs="仿宋_GB2312" w:eastAsia="仿宋_GB2312"/>
              </w:rPr>
              <w:t>供应商提供档案管理制度方案，方案至少包含：1.档案资料管理制度；2.移交工作制度。方案各项内容全面详细、阐述条理清晰，制度可操作性强，具体细致，内容贴合实际。能有效保障本项目实施得6分，每有一项缺项扣3分，每有一处内容存在缺陷，扣1分，扣完为止。备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拟派项目总负责人具有一级注册造价工程师或原国家注册造价工程师得2分，未提供不得分。（注：提供开标前近三个月的社保缴纳证明，须在本单位注册，以上证件提供复印件加盖公章。）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结算审核负责人</w:t>
            </w:r>
          </w:p>
        </w:tc>
        <w:tc>
          <w:tcPr>
            <w:tcW w:type="dxa" w:w="2492"/>
          </w:tcPr>
          <w:p>
            <w:pPr>
              <w:pStyle w:val="null3"/>
            </w:pPr>
            <w:r>
              <w:rPr>
                <w:rFonts w:ascii="仿宋_GB2312" w:hAnsi="仿宋_GB2312" w:cs="仿宋_GB2312" w:eastAsia="仿宋_GB2312"/>
              </w:rPr>
              <w:t>拟派结算审核负责人具有软件工程造价师得2分，未提供不得分。（注：提供开标前近三个月的社保缴纳证明，须在本单位注册，以上证件提供复印件加盖公章。）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竣工财务决算审计负责人</w:t>
            </w:r>
          </w:p>
        </w:tc>
        <w:tc>
          <w:tcPr>
            <w:tcW w:type="dxa" w:w="2492"/>
          </w:tcPr>
          <w:p>
            <w:pPr>
              <w:pStyle w:val="null3"/>
            </w:pPr>
            <w:r>
              <w:rPr>
                <w:rFonts w:ascii="仿宋_GB2312" w:hAnsi="仿宋_GB2312" w:cs="仿宋_GB2312" w:eastAsia="仿宋_GB2312"/>
              </w:rPr>
              <w:t>拟派竣工财务决算审计负责人具有注册会计师得2分，未提供不得分。（注：提供开标前近三个月的社保缴纳证明，须在本单位注册，以上证件提供复印件加盖公章。）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工作组成员</w:t>
            </w:r>
          </w:p>
        </w:tc>
        <w:tc>
          <w:tcPr>
            <w:tcW w:type="dxa" w:w="2492"/>
          </w:tcPr>
          <w:p>
            <w:pPr>
              <w:pStyle w:val="null3"/>
            </w:pPr>
            <w:r>
              <w:rPr>
                <w:rFonts w:ascii="仿宋_GB2312" w:hAnsi="仿宋_GB2312" w:cs="仿宋_GB2312" w:eastAsia="仿宋_GB2312"/>
              </w:rPr>
              <w:t>供应商提供针对本项目拟投入的工作组成员的情况说明及经验能力证明材料。方案内容至少包含：1.工作组成员管理组织架构、人员分工；2.工作职责划分；3.业务管理流程等内容。方案所涉及的拟投入的工作组成员管理组织架构清晰，人员分工和工作职责划分明确、业务管理流程详细，能有效保障本项目实施，每有一项缺项扣2分，每有一处内容存在缺陷，扣1分，扣完为止。备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提供在审计工作中的保密措施。1.内容梳理清晰、全面，有针对性措施得3分；2.内容有针对性，但还有可以优化空间得2分；3.虽有内容但不完善、内容表述前后不一致、与项目需求不匹配及其他不利于项目实施得1分；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投标人针对项目完成后的售后服务方案，方案至少包含：1.底稿的存档工作方案；2.后续交接配合工作方案。 切合项目具体情况，提出责任明确，服务定位，能有效保障本项目实施得6分，每有一项缺项扣3分，每有一处内容存在缺陷，扣1分，扣完为止。备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同类（信息化或信息系统项目结算审核或决算审计业绩）项目合同，每提供一个完整合同得2分，满分10分。以合同签订日期为准，提供合同复印件加盖公章。如合同为框架合同需提供合同加成果性文件复印件加盖公章，成果性文件应为2022年1月1日以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总报价为有效报价。2.满足文件实质性要求且总报价最低的供应商的投标总报价为基准价，其价格分为满分10分。3.报价得分=（基准价/总报价）×10的公式计算得分。4.报价不完整的，不计入评标标准价的计算，本项得0分。5.经评审小组一致认定，供应商的总报价低于公认市场成本，或超过采购预算，其响应将被拒绝。6.本项目为专门面向中小企业采购，故不参与政策性扣减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项目测试方案</w:t>
            </w:r>
          </w:p>
        </w:tc>
        <w:tc>
          <w:tcPr>
            <w:tcW w:type="dxa" w:w="2492"/>
          </w:tcPr>
          <w:p>
            <w:pPr>
              <w:pStyle w:val="null3"/>
            </w:pPr>
            <w:r>
              <w:rPr>
                <w:rFonts w:ascii="仿宋_GB2312" w:hAnsi="仿宋_GB2312" w:cs="仿宋_GB2312" w:eastAsia="仿宋_GB2312"/>
              </w:rPr>
              <w:t>为本项目提供针对性测试方案。对所提供方案中测试计划、测试目标、测试方法、测试组织、测试进度等进行评分：方案清晰明确，内容合理，可行性强，得16分；方案较为清晰，内容较为合理，有一定的可行性，得12分；方案基本清晰，内容基本合理，可行性一般，得8分；方案简单，不够清晰，内容合理性差，可行性不强，得6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项目组织计划方案</w:t>
            </w:r>
          </w:p>
        </w:tc>
        <w:tc>
          <w:tcPr>
            <w:tcW w:type="dxa" w:w="2492"/>
          </w:tcPr>
          <w:p>
            <w:pPr>
              <w:pStyle w:val="null3"/>
            </w:pPr>
            <w:r>
              <w:rPr>
                <w:rFonts w:ascii="仿宋_GB2312" w:hAnsi="仿宋_GB2312" w:cs="仿宋_GB2312" w:eastAsia="仿宋_GB2312"/>
              </w:rPr>
              <w:t>为本项目提供针性的项目组织计划方案。根据所提供的项目组织计划方案进行评分：内容详尽，进度计划合理可行，得16分；内容较为详细，进度计划较为合理可行,得12分；内容不够详细，进度计划可行性一般，得8分；内容简单，进度计划合理性、可行性较差，得6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为本项目提供针对性质量保障措施，根据所提供的质量保障措施进行评分：保障措施合理可行，针对性强,得16分；保障措施较为合理可行，有一定针对性，得12分；保障措施基本合理可行，针对性较弱，得8分；保障措施不健全，无针对性，得6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针对本项目提供测试过程的保密承诺，承诺完整、合理，针对性强计3分，承诺简单、模糊，针对性差的计1分。未提供不计分。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测评工具仪器</w:t>
            </w:r>
          </w:p>
        </w:tc>
        <w:tc>
          <w:tcPr>
            <w:tcW w:type="dxa" w:w="2492"/>
          </w:tcPr>
          <w:p>
            <w:pPr>
              <w:pStyle w:val="null3"/>
            </w:pPr>
            <w:r>
              <w:rPr>
                <w:rFonts w:ascii="仿宋_GB2312" w:hAnsi="仿宋_GB2312" w:cs="仿宋_GB2312" w:eastAsia="仿宋_GB2312"/>
              </w:rPr>
              <w:t>具有专业正版软件测试工具得3分，未提供不得分。注：须提供相应工具购买发票及采购合同复印件，否则不予认可。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类似项目业绩证明文件，每提供一份业绩计2分，满分6分。未提供不计分。注：须提供合同关键页复印件，关键页包括合同标的、合同金额页、签字盖章页，否则不计分。（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突发情况有具体可行的应急措施和解决方案，提供的应急方案建议全面、合理，可行性高、针对性强得9分；投提供的应急方案建议一般，可操作性一般，得5分；提供的应急方案建议较差，可操作性不强，得2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人社部门颁发的信息系统项目管理师证书资格证书、人社部门颁发的软件测评师资格证书、软件代码审计师证书，提供一项计3分，满分9分。注：须提供有效的身份证扫描件、相关证书扫描件和2024年1月至今任意1个月的社保证明。</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团队要求（测评师）</w:t>
            </w:r>
          </w:p>
        </w:tc>
        <w:tc>
          <w:tcPr>
            <w:tcW w:type="dxa" w:w="2492"/>
          </w:tcPr>
          <w:p>
            <w:pPr>
              <w:pStyle w:val="null3"/>
            </w:pPr>
            <w:r>
              <w:rPr>
                <w:rFonts w:ascii="仿宋_GB2312" w:hAnsi="仿宋_GB2312" w:cs="仿宋_GB2312" w:eastAsia="仿宋_GB2312"/>
              </w:rPr>
              <w:t>团队成员具备软件代码审计师证书、检验检测机构资质认定内审员证书、实验室认可内审员证书，每提供1个证书得4分，满分12分。须提供有效的身份证扫描件、相关证书扫描件和2024年1月至今任意1个月的社保证明。</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总报价为有效报价。2.满足文件实质性要求且总报价最低的供应商的投标总报价为基准价，其价格分为满分10分。3.报价得分=（基准价/总报价）×10的公式计算得分。4.报价不完整的，不计入评标标准价的计算，本项得0分。5.经评审小组一致认定，供应商的总报价低于公认市场成本，或超过采购预算，其响应将被拒绝。6.本项目为专门面向中小企业采购，故不参与政策性扣减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需求分析方案</w:t>
            </w:r>
          </w:p>
        </w:tc>
        <w:tc>
          <w:tcPr>
            <w:tcW w:type="dxa" w:w="2492"/>
          </w:tcPr>
          <w:p>
            <w:pPr>
              <w:pStyle w:val="null3"/>
            </w:pPr>
            <w:r>
              <w:rPr>
                <w:rFonts w:ascii="仿宋_GB2312" w:hAnsi="仿宋_GB2312" w:cs="仿宋_GB2312" w:eastAsia="仿宋_GB2312"/>
              </w:rPr>
              <w:t>针对本项目提供具体的需求分析方案。包括：工作目标；工作思路；工作范围；工作依据。（1）方案完善，分析全面，具有很强的合理性和可操作性，计10分；（2）方案较完善，分析到位，具有较强的合理性和可操作性，计7分；（3）方案一般，分析不足，没有合理性和可操作性，计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测评设计方案</w:t>
            </w:r>
          </w:p>
        </w:tc>
        <w:tc>
          <w:tcPr>
            <w:tcW w:type="dxa" w:w="2492"/>
          </w:tcPr>
          <w:p>
            <w:pPr>
              <w:pStyle w:val="null3"/>
            </w:pPr>
            <w:r>
              <w:rPr>
                <w:rFonts w:ascii="仿宋_GB2312" w:hAnsi="仿宋_GB2312" w:cs="仿宋_GB2312" w:eastAsia="仿宋_GB2312"/>
              </w:rPr>
              <w:t>针对本项目提供具体的测评设计方案。包括：测评流程；测评指标；测评方法；测评对象确定。（1）方案完善，设计全面，具有很强的合理性和可操作性，计10分；（2）方案较完善，设计基本满足需求，具有较强的合理性和可操作性，计7分；（3）方案一般，设计不足，没有合理性和可操作性，计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渗透测试设计方案</w:t>
            </w:r>
          </w:p>
        </w:tc>
        <w:tc>
          <w:tcPr>
            <w:tcW w:type="dxa" w:w="2492"/>
          </w:tcPr>
          <w:p>
            <w:pPr>
              <w:pStyle w:val="null3"/>
            </w:pPr>
            <w:r>
              <w:rPr>
                <w:rFonts w:ascii="仿宋_GB2312" w:hAnsi="仿宋_GB2312" w:cs="仿宋_GB2312" w:eastAsia="仿宋_GB2312"/>
              </w:rPr>
              <w:t>针对本项目提供具体的渗透测试设计方案。包括：渗透测试流程；渗透测试风险控制。（1）方案完善，设计全面，具有很强的合理性和可操作性，计10分；（2）方案较完善，设计基本满足需求，具有较强的合理性和可操作性，计7分；（3）方案一般，设计不足，没有合理性和可操作性，计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组织与实施计划，包含以下内容：组织架构与任务分工；人员配备与工作职责；详细的项目进度计划安排。（1）组织架构合理，分工明确，人员充裕，进度计划详细完善，计10分；（2）组织架构较合理，分工、人员基本满足需求，进度计划较详细，计7分；（3）分工模糊，人员较少，进度计划简单，计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具备完善的质量保证管理体系质量服务方案，包括以下内容：项目质量控制；项目风险分析及处置措施；项目变更控制；项目沟通与响应时效性；过程文档管理；信息安全保密制度。（1）内容完善详尽，质量管理及服务各项表述全面，具有很强的合理性和可操作性，得15分；（2）内容较为详细，质量管理及服务表述较为全面，有一定可操作性，得12分；（3）内容不够详细，可行性一般，得8分；（4）内容简单，合理性、可行性较差，得6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针对本项目可能发生的各类紧急状况的应急预案。（1）应急预案完善合理、可实施性强的，计5分；（2）应急预案简单、可实施性差，计3分；未提供不计分。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具备网络安全等级测评高级测评师证书、PMP（项目管理专业人士资格认证）证书、注册信息安全-CISP证书、信息安全保障人员-CISAW证书（风险管理）、信息安全保障人员-CISAW证书（应急服务），每备其中一项证书得1分，满分得5分。注：以上人员均需提供相关证明材料（身份证、相关认证证书、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项目技术负责人具备高级测评师证书、高级系统规划与管理师证书（软考）、信息安全工程师证书（软考）、网络工程师证书（软考）证书、注册网络安全渗透评估专业人员(NSATP-A)专业级证书，每具备其中一项证书得1分，满分得5分。注：以上人员均需提供相关证明材料（身份证、相关认证证书、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项目其他人员能力（不限一人）：项目成员在具备测评师证书基础上具有注册网络安全渗透评估专业人员(NSATP-A)高级证书、渗透测试专业（CISP-PTE）证书、注册网络安全源代码审计专业人员（NSATP-SCA)专业级证书、中级系统集成项目管理工程师证书（软考）、CCRC-DSA数据安全评估师认证证书，每提供一个得1分，本项最高5分。注：以上人员均需提供相关证明材料（身份证、相关认证证书、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供应商针对本项目提供测试过程的保密承诺及保密措施。承诺及措施完整、合理，针对性强计5分；承诺及措施基本完整、合理，针对性较强计3分；承诺简单、模糊，针对性差的计1分；未提供不计分。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在售后服务期限内，提供具体的售后服务方案，包含以下内容：应急响应服务、电话支持服务、配合检查服务、安全咨询服务、安全培训等服务。售后服务完善合理、可实施性强的，计3分；售后服务简单、可实施性差，计1分；未提供不计分。 2.服务商提供有效期内的售后服务认证证书（五星），计2分；未提供不计分。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供应商提供2022年1月1日以来类似项目业绩证明文件，每提供一份业绩计1分，满分5分。未提供不计分。（以合同签订时间为准）。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总报价为有效报价。2.满足文件实质性要求且总报价最低的供应商的投标总报价为基准价，其价格分为满分10分。3.报价得分=（基准价/总报价）×10的公式计算得分。4.报价不完整的，不计入评标标准价的计算，本项得0分。5.经评审小组一致认定，供应商的总报价低于公认市场成本，或超过采购预算，其响应将被拒绝。6.本项目为专门面向中小企业采购，故不参与政策性扣减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需求分析方案</w:t>
            </w:r>
          </w:p>
        </w:tc>
        <w:tc>
          <w:tcPr>
            <w:tcW w:type="dxa" w:w="2492"/>
          </w:tcPr>
          <w:p>
            <w:pPr>
              <w:pStyle w:val="null3"/>
            </w:pPr>
            <w:r>
              <w:rPr>
                <w:rFonts w:ascii="仿宋_GB2312" w:hAnsi="仿宋_GB2312" w:cs="仿宋_GB2312" w:eastAsia="仿宋_GB2312"/>
              </w:rPr>
              <w:t>针对本项目提供具体的需求分析方案。包括：工作目标；工作思路；工作范围；工作依据。（1）密评需求分析全面、合理，具有很强的合理性和可操作性，计5分；（2）密评需求分析不足，合理性和可操作性差，计3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密评方案</w:t>
            </w:r>
          </w:p>
        </w:tc>
        <w:tc>
          <w:tcPr>
            <w:tcW w:type="dxa" w:w="2492"/>
          </w:tcPr>
          <w:p>
            <w:pPr>
              <w:pStyle w:val="null3"/>
            </w:pPr>
            <w:r>
              <w:rPr>
                <w:rFonts w:ascii="仿宋_GB2312" w:hAnsi="仿宋_GB2312" w:cs="仿宋_GB2312" w:eastAsia="仿宋_GB2312"/>
              </w:rPr>
              <w:t>供应商针对本项目提供的密评方案、测试过程中需使用测试设备清单、文档提交及验收等方面进行综合评审。（1）服务方案思路清晰，总体方案科学、规范，可操作性强，架构完整、层次清晰，测试设备完全满足测试需要，文档提交及验收全面、明确、合理，计15分；（2）服务方案总体较思路清晰，总体方案较科学、规范，可操作性较强，架构较完整、层次较清晰，测试设备不完全满足测试需要，文档提交及验收不够全面，计12分；（3）服务方案总体思路不够清晰，总体方案不够科学、合理，可操作性不强，架构不完整、层次不清晰，测试设备不满足测试需要，文档提交及验收不全面，计8分；（4）服务方案简单，存在严重缺项，计4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针对本项目提供进度安排及保证措施等方面进行综合评审。（1）有明确合理的项目实施周期和进度计划表，并有相应的进度保障措施，措施安排合理科学，可行性高的，计15分；（2）项目实施周期和进度计划表较合理，并有相应的进度保障措施，有一定可行性，计12分；（3）进度计划较为合理可行，保障措施简单，计8分；（4）进度计划不合理，可行性差，计4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通过国家密码管理局的商用密码应用安全性评估人员测评能力考核；具有注册信息安全管理人员证书（CISO）、信息安全保障人员认证证书（CISAW-风险管理）、信息安全保障人员认证证书（CISAW-应急服务）、DSA数据安全评估师证书（中国网络安全审查技术与认证中心颁发）。以上证书每提供1个得1分，此项最高4分。未提供不得分。注：上述人员需提供资格证书扫描件加盖公章及近半年来在本单位缴纳的社保证明加盖公章，否则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技术人员团队</w:t>
            </w:r>
          </w:p>
        </w:tc>
        <w:tc>
          <w:tcPr>
            <w:tcW w:type="dxa" w:w="2492"/>
          </w:tcPr>
          <w:p>
            <w:pPr>
              <w:pStyle w:val="null3"/>
            </w:pPr>
            <w:r>
              <w:rPr>
                <w:rFonts w:ascii="仿宋_GB2312" w:hAnsi="仿宋_GB2312" w:cs="仿宋_GB2312" w:eastAsia="仿宋_GB2312"/>
              </w:rPr>
              <w:t>项目组技术人员（除项目经理外）：通过国家密码管理局的商用密码应用安全性评估人员测评能力考核；且具有注册信息安全专业人员证书（CISP）。技术人员团队中同时具备以上资质证书的每人得2分。此项最高4分。未提供不得分。注：上述人员需提供资格证书扫描件加盖公章及近半年来在本单位缴纳的社保证明加盖公章，否则不予赋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团队质量专员</w:t>
            </w:r>
          </w:p>
        </w:tc>
        <w:tc>
          <w:tcPr>
            <w:tcW w:type="dxa" w:w="2492"/>
          </w:tcPr>
          <w:p>
            <w:pPr>
              <w:pStyle w:val="null3"/>
            </w:pPr>
            <w:r>
              <w:rPr>
                <w:rFonts w:ascii="仿宋_GB2312" w:hAnsi="仿宋_GB2312" w:cs="仿宋_GB2312" w:eastAsia="仿宋_GB2312"/>
              </w:rPr>
              <w:t>团队质量专员通过国家密码管理局的商用密码应用安全性评估人员测评能力考核；同时具有信息安全保障人员认证证书（CISAW-安全运维）、CISP-DSG注册数据安全治理专业人员-注册信息安全专业人员证书（中国信息安全测评中心颁发），以上证书每提供1个得1分，此项最高2分，未提供不得分。注：上述人员需提供资格证书扫描件加盖公章及近半年来在本单位缴纳的社保证明加盖公章，否则不予赋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对整个评测项目实施过程中的风险有相应的防范措施，应急响应措施。有完善的信息安全保密管理措施，有安全需求分析和安全方案设计，保证客户信息资料的安全性，并明确保密责任与赔偿承诺。（1）方案科学合理，内容全面、规范，各项措施完整、切实可行的，计15分；（2）方案较为科学合理，内容较为全面、规范，各项措施基本完整、可行的，计12分；（3）方案不够科学合理，内容不全面、不规范，各项措施不够完整，可行性不足的，计8分。（4）方案表述简单，各项措施均未体现，计4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整体安排及策划作出承诺，且服务承诺切合实际方面进行赋分。（1）服务承诺全面、详细、具体的，计10分；（2）服务承诺较全面、详细、具体的，计7分；（3）服务承诺不够全面，内容不详细、不具体的，计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障措施；（1）保障措施合理可行，针对性强,计5分；（2）保障措施较为合理可行，有一定针对性，计4分；（3）保障措施基本合理可行，针对性一般，计3分；（4）保障措施简单，针对性较弱，计2分；（5）保障措施不健全，无针对性，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1）承诺及措施完整、合理，针对性强计5分；（2）承诺及措施基本完整、合理，针对性较强计3分；（3）承诺简单、模糊，针对性差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供应商提供2022年1月1日以来类似项目业绩证明文件，每提供一份业绩计2分，满分10分。未提供不计分。（以合同签订时间为准）。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总报价为有效报价。2.满足文件实质性要求且总报价最低的供应商的投标总报价为基准价，其价格分为满分10分。3.报价得分=（基准价/总报价）×10的公式计算得分。4.报价不完整的，不计入评标标准价的计算，本项得0分。5.经评审小组一致认定，供应商的总报价低于公认市场成本，或超过采购预算，其响应将被拒绝。6.本项目为专门面向中小企业采购，故不参与政策性扣减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