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版本号：SXZH-2026-07420260424001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省直机关三爻小区立体车库维保项目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SXZH-2026-074</w:t>
      </w:r>
      <w:r>
        <w:br/>
      </w:r>
      <w:r>
        <w:br/>
      </w:r>
      <w:r>
        <w:br/>
      </w:r>
    </w:p>
    <w:p>
      <w:pPr>
        <w:pStyle w:val="null3"/>
        <w:jc w:val="center"/>
        <w:outlineLvl w:val="2"/>
      </w:pPr>
      <w:r>
        <w:rPr>
          <w:rFonts w:ascii="仿宋_GB2312" w:hAnsi="仿宋_GB2312" w:cs="仿宋_GB2312" w:eastAsia="仿宋_GB2312"/>
          <w:sz w:val="28"/>
          <w:b/>
        </w:rPr>
        <w:t>陕西省省级机关建工路办公区服务中心</w:t>
      </w:r>
    </w:p>
    <w:p>
      <w:pPr>
        <w:pStyle w:val="null3"/>
        <w:jc w:val="center"/>
        <w:outlineLvl w:val="2"/>
      </w:pPr>
      <w:r>
        <w:rPr>
          <w:rFonts w:ascii="仿宋_GB2312" w:hAnsi="仿宋_GB2312" w:cs="仿宋_GB2312" w:eastAsia="仿宋_GB2312"/>
          <w:sz w:val="28"/>
          <w:b/>
        </w:rPr>
        <w:t>陕西中寰项目管理有限公司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陕西中寰项目管理有限公司</w:t>
      </w:r>
      <w:r>
        <w:rPr>
          <w:rFonts w:ascii="仿宋_GB2312" w:hAnsi="仿宋_GB2312" w:cs="仿宋_GB2312" w:eastAsia="仿宋_GB2312"/>
        </w:rPr>
        <w:t>（以下简称“代理机构”）受</w:t>
      </w:r>
      <w:r>
        <w:rPr>
          <w:rFonts w:ascii="仿宋_GB2312" w:hAnsi="仿宋_GB2312" w:cs="仿宋_GB2312" w:eastAsia="仿宋_GB2312"/>
        </w:rPr>
        <w:t>陕西省省级机关建工路办公区服务中心</w:t>
      </w:r>
      <w:r>
        <w:rPr>
          <w:rFonts w:ascii="仿宋_GB2312" w:hAnsi="仿宋_GB2312" w:cs="仿宋_GB2312" w:eastAsia="仿宋_GB2312"/>
        </w:rPr>
        <w:t>委托，拟对</w:t>
      </w:r>
      <w:r>
        <w:rPr>
          <w:rFonts w:ascii="仿宋_GB2312" w:hAnsi="仿宋_GB2312" w:cs="仿宋_GB2312" w:eastAsia="仿宋_GB2312"/>
        </w:rPr>
        <w:t>省直机关三爻小区立体车库维保项目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SXZH-2026-074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省直机关三爻小区立体车库维保项目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省直机关三爻小区立体车库维保项目，1项，具体内容详见采购文件第三章。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采购包1（省直机关三爻小区立体车库维保项目）：属于专门面向小微企业采购。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8、特定资质：供应商须具备独立的《特种设备生产许可证》 ,许可项目为：机械式停车设备。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陕西省省级机关建工路办公区服务中心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赵玉红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029-88669882(转8608)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西安市高新区科技二路启迪科技园E座2203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19992888096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采购包1：2,961,700.00元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陕西省省级机关建工路办公区服务中心</w:t>
      </w:r>
      <w:r>
        <w:rPr>
          <w:rFonts w:ascii="仿宋_GB2312" w:hAnsi="仿宋_GB2312" w:cs="仿宋_GB2312" w:eastAsia="仿宋_GB2312"/>
        </w:rPr>
        <w:t>和</w:t>
      </w:r>
      <w:r>
        <w:rPr>
          <w:rFonts w:ascii="仿宋_GB2312" w:hAnsi="仿宋_GB2312" w:cs="仿宋_GB2312" w:eastAsia="仿宋_GB2312"/>
        </w:rPr>
        <w:t>陕西中寰项目管理有限公司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陕西省省级机关建工路办公区服务中心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陕西省省级机关建工路办公区服务中心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联系人：王硕</w:t>
      </w:r>
    </w:p>
    <w:p>
      <w:pPr>
        <w:pStyle w:val="null3"/>
      </w:pPr>
      <w:r>
        <w:rPr>
          <w:rFonts w:ascii="仿宋_GB2312" w:hAnsi="仿宋_GB2312" w:cs="仿宋_GB2312" w:eastAsia="仿宋_GB2312"/>
        </w:rPr>
        <w:t>联系电话：19992888096</w:t>
      </w:r>
    </w:p>
    <w:p>
      <w:pPr>
        <w:pStyle w:val="null3"/>
      </w:pPr>
      <w:r>
        <w:rPr>
          <w:rFonts w:ascii="仿宋_GB2312" w:hAnsi="仿宋_GB2312" w:cs="仿宋_GB2312" w:eastAsia="仿宋_GB2312"/>
        </w:rPr>
        <w:t>地址：西安市高新区科技二路启迪科技园E座2203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省直机关三爻小区位于西安市雁塔区，朱雀南路和清凉寺北路交叉口，西南侧为清凉山森林公园。总建筑面积为83.2万平方米，居住总户数5744户。三爻小区共分为六个区域，其中住宅楼33幢，单元42个，地下车库共五个、电梯86部，共计2571个机械车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2,961,700.00</w:t>
      </w:r>
    </w:p>
    <w:p>
      <w:pPr>
        <w:pStyle w:val="null3"/>
      </w:pPr>
      <w:r>
        <w:rPr>
          <w:rFonts w:ascii="仿宋_GB2312" w:hAnsi="仿宋_GB2312" w:cs="仿宋_GB2312" w:eastAsia="仿宋_GB2312"/>
        </w:rPr>
        <w:t>采购包最高限价（元）: 2,961,700.00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2961700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2,961,700.00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标的名称：2961700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、采购内容</w:t>
            </w:r>
          </w:p>
          <w:p>
            <w:pPr>
              <w:pStyle w:val="null3"/>
              <w:ind w:firstLine="480"/>
              <w:jc w:val="both"/>
            </w:pPr>
            <w:r>
              <w:rPr>
                <w:rFonts w:ascii="仿宋_GB2312" w:hAnsi="仿宋_GB2312" w:cs="仿宋_GB2312" w:eastAsia="仿宋_GB2312"/>
                <w:sz w:val="24"/>
              </w:rPr>
              <w:t>省直机关三爻小区位于西安市雁塔区，朱雀南路和清凉寺北路交叉口，西南侧为清凉山森林公园。总建筑面积为</w:t>
            </w:r>
            <w:r>
              <w:rPr>
                <w:rFonts w:ascii="仿宋_GB2312" w:hAnsi="仿宋_GB2312" w:cs="仿宋_GB2312" w:eastAsia="仿宋_GB2312"/>
                <w:sz w:val="24"/>
              </w:rPr>
              <w:t>83.2</w:t>
            </w:r>
            <w:r>
              <w:rPr>
                <w:rFonts w:ascii="仿宋_GB2312" w:hAnsi="仿宋_GB2312" w:cs="仿宋_GB2312" w:eastAsia="仿宋_GB2312"/>
                <w:sz w:val="24"/>
              </w:rPr>
              <w:t>万平方米，居住总户数</w:t>
            </w:r>
            <w:r>
              <w:rPr>
                <w:rFonts w:ascii="仿宋_GB2312" w:hAnsi="仿宋_GB2312" w:cs="仿宋_GB2312" w:eastAsia="仿宋_GB2312"/>
                <w:sz w:val="24"/>
              </w:rPr>
              <w:t>5744</w:t>
            </w:r>
            <w:r>
              <w:rPr>
                <w:rFonts w:ascii="仿宋_GB2312" w:hAnsi="仿宋_GB2312" w:cs="仿宋_GB2312" w:eastAsia="仿宋_GB2312"/>
                <w:sz w:val="24"/>
              </w:rPr>
              <w:t>户。三爻小区共分为六个区域，其中住宅楼</w:t>
            </w:r>
            <w:r>
              <w:rPr>
                <w:rFonts w:ascii="仿宋_GB2312" w:hAnsi="仿宋_GB2312" w:cs="仿宋_GB2312" w:eastAsia="仿宋_GB2312"/>
                <w:sz w:val="24"/>
              </w:rPr>
              <w:t>33</w:t>
            </w:r>
            <w:r>
              <w:rPr>
                <w:rFonts w:ascii="仿宋_GB2312" w:hAnsi="仿宋_GB2312" w:cs="仿宋_GB2312" w:eastAsia="仿宋_GB2312"/>
                <w:sz w:val="24"/>
              </w:rPr>
              <w:t>幢，单元</w:t>
            </w:r>
            <w:r>
              <w:rPr>
                <w:rFonts w:ascii="仿宋_GB2312" w:hAnsi="仿宋_GB2312" w:cs="仿宋_GB2312" w:eastAsia="仿宋_GB2312"/>
                <w:sz w:val="24"/>
              </w:rPr>
              <w:t>42</w:t>
            </w:r>
            <w:r>
              <w:rPr>
                <w:rFonts w:ascii="仿宋_GB2312" w:hAnsi="仿宋_GB2312" w:cs="仿宋_GB2312" w:eastAsia="仿宋_GB2312"/>
                <w:sz w:val="24"/>
              </w:rPr>
              <w:t>个，地下车库共五个、电梯</w:t>
            </w:r>
            <w:r>
              <w:rPr>
                <w:rFonts w:ascii="仿宋_GB2312" w:hAnsi="仿宋_GB2312" w:cs="仿宋_GB2312" w:eastAsia="仿宋_GB2312"/>
                <w:sz w:val="24"/>
              </w:rPr>
              <w:t>86</w:t>
            </w:r>
            <w:r>
              <w:rPr>
                <w:rFonts w:ascii="仿宋_GB2312" w:hAnsi="仿宋_GB2312" w:cs="仿宋_GB2312" w:eastAsia="仿宋_GB2312"/>
                <w:sz w:val="24"/>
              </w:rPr>
              <w:t>部，</w:t>
            </w:r>
            <w:r>
              <w:rPr>
                <w:rFonts w:ascii="仿宋_GB2312" w:hAnsi="仿宋_GB2312" w:cs="仿宋_GB2312" w:eastAsia="仿宋_GB2312"/>
                <w:sz w:val="24"/>
              </w:rPr>
              <w:t>共计</w:t>
            </w:r>
            <w:r>
              <w:rPr>
                <w:rFonts w:ascii="仿宋_GB2312" w:hAnsi="仿宋_GB2312" w:cs="仿宋_GB2312" w:eastAsia="仿宋_GB2312"/>
                <w:sz w:val="24"/>
              </w:rPr>
              <w:t>257</w:t>
            </w:r>
            <w:r>
              <w:rPr>
                <w:rFonts w:ascii="仿宋_GB2312" w:hAnsi="仿宋_GB2312" w:cs="仿宋_GB2312" w:eastAsia="仿宋_GB2312"/>
                <w:sz w:val="24"/>
              </w:rPr>
              <w:t>1</w:t>
            </w:r>
            <w:r>
              <w:rPr>
                <w:rFonts w:ascii="仿宋_GB2312" w:hAnsi="仿宋_GB2312" w:cs="仿宋_GB2312" w:eastAsia="仿宋_GB2312"/>
                <w:sz w:val="24"/>
              </w:rPr>
              <w:t>个机械车位。</w:t>
            </w:r>
          </w:p>
          <w:p>
            <w:pPr>
              <w:pStyle w:val="null3"/>
              <w:jc w:val="both"/>
            </w:pPr>
            <w:r>
              <w:rPr>
                <w:rFonts w:ascii="仿宋_GB2312" w:hAnsi="仿宋_GB2312" w:cs="仿宋_GB2312" w:eastAsia="仿宋_GB2312"/>
                <w:sz w:val="24"/>
              </w:rPr>
              <w:t>二、服务内容</w:t>
            </w:r>
          </w:p>
          <w:p>
            <w:pPr>
              <w:pStyle w:val="null3"/>
              <w:ind w:firstLine="480"/>
              <w:jc w:val="both"/>
            </w:pPr>
            <w:r>
              <w:rPr>
                <w:rFonts w:ascii="仿宋_GB2312" w:hAnsi="仿宋_GB2312" w:cs="仿宋_GB2312" w:eastAsia="仿宋_GB2312"/>
                <w:sz w:val="24"/>
              </w:rPr>
              <w:t>车库维保人员主要负责日常维护维修、常规检查、损坏零部件更换、故障排除等工作，负责车位损坏零部件及日常材料消耗。车场管理人员主要负责引导车辆入库、协助业主存取车、车位复位</w:t>
            </w:r>
            <w:r>
              <w:rPr>
                <w:rFonts w:ascii="仿宋_GB2312" w:hAnsi="仿宋_GB2312" w:cs="仿宋_GB2312" w:eastAsia="仿宋_GB2312"/>
                <w:sz w:val="24"/>
              </w:rPr>
              <w:t>以及环境卫生、服务纠纷处理</w:t>
            </w:r>
            <w:r>
              <w:rPr>
                <w:rFonts w:ascii="仿宋_GB2312" w:hAnsi="仿宋_GB2312" w:cs="仿宋_GB2312" w:eastAsia="仿宋_GB2312"/>
                <w:sz w:val="24"/>
              </w:rPr>
              <w:t>等工作。</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服务</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、服务质量：合格。</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、服务期限：</w:t>
            </w:r>
            <w:r>
              <w:rPr>
                <w:rFonts w:ascii="仿宋_GB2312" w:hAnsi="仿宋_GB2312" w:cs="仿宋_GB2312" w:eastAsia="仿宋_GB2312"/>
                <w:sz w:val="24"/>
              </w:rPr>
              <w:t>1</w:t>
            </w:r>
            <w:r>
              <w:rPr>
                <w:rFonts w:ascii="仿宋_GB2312" w:hAnsi="仿宋_GB2312" w:cs="仿宋_GB2312" w:eastAsia="仿宋_GB2312"/>
                <w:sz w:val="24"/>
              </w:rPr>
              <w:t>年（合同一年一签）。</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、安全目标：无人员伤亡事故及财产损失。</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、外包模式：全包形式（机械车位维保、维修、配件更换及车场管理）。</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、项目包含：机械停车设备维保服务项目包含人员工资、工装费、办公用品、社保、人员保险（人身意外伤害险）、设备保险（财产险、公众责任险）、食宿、车库保洁、日常材料消耗、配件更换</w:t>
            </w:r>
            <w:r>
              <w:rPr>
                <w:rFonts w:ascii="仿宋_GB2312" w:hAnsi="仿宋_GB2312" w:cs="仿宋_GB2312" w:eastAsia="仿宋_GB2312"/>
                <w:sz w:val="24"/>
              </w:rPr>
              <w:t>（非自然或不可抗力损坏除外）</w:t>
            </w:r>
            <w:r>
              <w:rPr>
                <w:rFonts w:ascii="仿宋_GB2312" w:hAnsi="仿宋_GB2312" w:cs="仿宋_GB2312" w:eastAsia="仿宋_GB2312"/>
                <w:sz w:val="24"/>
              </w:rPr>
              <w:t>、损坏及更换的配件费等。</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派员长驻本项目所在区域，提供</w:t>
            </w:r>
            <w:r>
              <w:rPr>
                <w:rFonts w:ascii="仿宋_GB2312" w:hAnsi="仿宋_GB2312" w:cs="仿宋_GB2312" w:eastAsia="仿宋_GB2312"/>
                <w:sz w:val="24"/>
              </w:rPr>
              <w:t>24</w:t>
            </w:r>
            <w:r>
              <w:rPr>
                <w:rFonts w:ascii="仿宋_GB2312" w:hAnsi="仿宋_GB2312" w:cs="仿宋_GB2312" w:eastAsia="仿宋_GB2312"/>
                <w:sz w:val="24"/>
              </w:rPr>
              <w:t>小时管理和应急处置服务。</w:t>
            </w:r>
            <w:r>
              <w:rPr>
                <w:rFonts w:ascii="仿宋_GB2312" w:hAnsi="仿宋_GB2312" w:cs="仿宋_GB2312" w:eastAsia="仿宋_GB2312"/>
                <w:sz w:val="24"/>
              </w:rPr>
              <w:t>准备充足备件，</w:t>
            </w:r>
            <w:r>
              <w:rPr>
                <w:rFonts w:ascii="仿宋_GB2312" w:hAnsi="仿宋_GB2312" w:cs="仿宋_GB2312" w:eastAsia="仿宋_GB2312"/>
                <w:sz w:val="24"/>
              </w:rPr>
              <w:t>12</w:t>
            </w:r>
            <w:r>
              <w:rPr>
                <w:rFonts w:ascii="仿宋_GB2312" w:hAnsi="仿宋_GB2312" w:cs="仿宋_GB2312" w:eastAsia="仿宋_GB2312"/>
                <w:sz w:val="24"/>
              </w:rPr>
              <w:t>小时内完成损坏零部件更换。</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、工作人员年龄不得超过</w:t>
            </w:r>
            <w:r>
              <w:rPr>
                <w:rFonts w:ascii="仿宋_GB2312" w:hAnsi="仿宋_GB2312" w:cs="仿宋_GB2312" w:eastAsia="仿宋_GB2312"/>
                <w:sz w:val="24"/>
              </w:rPr>
              <w:t>55</w:t>
            </w:r>
            <w:r>
              <w:rPr>
                <w:rFonts w:ascii="仿宋_GB2312" w:hAnsi="仿宋_GB2312" w:cs="仿宋_GB2312" w:eastAsia="仿宋_GB2312"/>
                <w:sz w:val="24"/>
              </w:rPr>
              <w:t>岁，工作人员不得低于</w:t>
            </w:r>
            <w:r>
              <w:rPr>
                <w:rFonts w:ascii="仿宋_GB2312" w:hAnsi="仿宋_GB2312" w:cs="仿宋_GB2312" w:eastAsia="仿宋_GB2312"/>
                <w:sz w:val="24"/>
              </w:rPr>
              <w:t>24</w:t>
            </w:r>
            <w:r>
              <w:rPr>
                <w:rFonts w:ascii="仿宋_GB2312" w:hAnsi="仿宋_GB2312" w:cs="仿宋_GB2312" w:eastAsia="仿宋_GB2312"/>
                <w:sz w:val="24"/>
              </w:rPr>
              <w:t>人（各区含</w:t>
            </w:r>
            <w:r>
              <w:rPr>
                <w:rFonts w:ascii="仿宋_GB2312" w:hAnsi="仿宋_GB2312" w:cs="仿宋_GB2312" w:eastAsia="仿宋_GB2312"/>
                <w:sz w:val="24"/>
              </w:rPr>
              <w:t>1</w:t>
            </w:r>
            <w:r>
              <w:rPr>
                <w:rFonts w:ascii="仿宋_GB2312" w:hAnsi="仿宋_GB2312" w:cs="仿宋_GB2312" w:eastAsia="仿宋_GB2312"/>
                <w:sz w:val="24"/>
              </w:rPr>
              <w:t>名换休人员），主要负责日常维修、常规检查、损坏零部件更换、故障排除、车辆入库引导、协助业主取车存车、车位复位、车场管理等工作，保证车场正常运行、设备正常运转。</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、所有管理人员须</w:t>
            </w:r>
            <w:r>
              <w:rPr>
                <w:rFonts w:ascii="仿宋_GB2312" w:hAnsi="仿宋_GB2312" w:cs="仿宋_GB2312" w:eastAsia="仿宋_GB2312"/>
                <w:sz w:val="24"/>
              </w:rPr>
              <w:t>按管理要求</w:t>
            </w:r>
            <w:r>
              <w:rPr>
                <w:rFonts w:ascii="仿宋_GB2312" w:hAnsi="仿宋_GB2312" w:cs="仿宋_GB2312" w:eastAsia="仿宋_GB2312"/>
                <w:sz w:val="24"/>
              </w:rPr>
              <w:t>持证上岗</w:t>
            </w:r>
            <w:r>
              <w:rPr>
                <w:rFonts w:ascii="仿宋_GB2312" w:hAnsi="仿宋_GB2312" w:cs="仿宋_GB2312" w:eastAsia="仿宋_GB2312"/>
                <w:sz w:val="24"/>
              </w:rPr>
              <w:t>，并确保在岗在位。维保人员须严格履行维保计划，加强设施设备维护保养，并及时到位排除故障。</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、问题报修后必须</w:t>
            </w:r>
            <w:r>
              <w:rPr>
                <w:rFonts w:ascii="仿宋_GB2312" w:hAnsi="仿宋_GB2312" w:cs="仿宋_GB2312" w:eastAsia="仿宋_GB2312"/>
                <w:sz w:val="24"/>
              </w:rPr>
              <w:t>1</w:t>
            </w:r>
            <w:r>
              <w:rPr>
                <w:rFonts w:ascii="仿宋_GB2312" w:hAnsi="仿宋_GB2312" w:cs="仿宋_GB2312" w:eastAsia="仿宋_GB2312"/>
                <w:sz w:val="24"/>
              </w:rPr>
              <w:t>个小时内处理，如造成损失，由维保方全权负责，承担一切经济</w:t>
            </w:r>
            <w:r>
              <w:rPr>
                <w:rFonts w:ascii="仿宋_GB2312" w:hAnsi="仿宋_GB2312" w:cs="仿宋_GB2312" w:eastAsia="仿宋_GB2312"/>
                <w:sz w:val="24"/>
              </w:rPr>
              <w:t>损失。</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对服务管理中发生的故障、纠纷等及时跟进处理，并做好调解、赔付、安抚等工作。</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、依照相关法律法规要求，严格规范管理，建立完善相关台账、落实维保计划。</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、配合相关部门和甲方（采购人），完成临时安排事项和任务。服从监管和调度。</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、严格落实清扫计划，确保库容库貌干净整洁。</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、严格按要求加强停车秩序管理，减少和杜绝乱停乱发和违规入库停发行为。</w:t>
            </w:r>
          </w:p>
          <w:p>
            <w:pPr>
              <w:pStyle w:val="null3"/>
              <w:jc w:val="both"/>
            </w:pPr>
            <w:r>
              <w:rPr>
                <w:rFonts w:ascii="仿宋_GB2312" w:hAnsi="仿宋_GB2312" w:cs="仿宋_GB2312" w:eastAsia="仿宋_GB2312"/>
                <w:sz w:val="24"/>
              </w:rPr>
              <w:t>四、根据《财政部关于推进和完善服务项目政府采购有关问题的通知》有关规定，合同期满后可依据服务满意度调查结果决定是否续签。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第一季度服务期满后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第二季度服务期满后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第三季度服务期满后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第四季度服务期满后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1、采购文件要求签字或盖章之处，非法人单位均参照执行。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供应商须具备独立的《特种设备生产许可证》 ,许可项目为：机械式停车设备。</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中小企业声明函 标的清单 服务内容及服务要求应答表.docx 供应商资格证明文件.docx 响应函 服务方案.docx 供应商承诺书.docx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标的清单 供应商资格证明文件.docx 服务内容及服务要求应答表.docx 响应函 供应商承诺书.docx 服务方案.docx 监狱企业的证明文件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服务内容及服务要求应答表.docx 响应函 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中小企业声明函 供应商资格证明文件.docx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管理及维保方案</w:t>
            </w:r>
          </w:p>
        </w:tc>
        <w:tc>
          <w:tcPr>
            <w:tcW w:type="dxa" w:w="2492"/>
          </w:tcPr>
          <w:p>
            <w:pPr>
              <w:pStyle w:val="null3"/>
            </w:pPr>
            <w:r>
              <w:rPr>
                <w:rFonts w:ascii="仿宋_GB2312" w:hAnsi="仿宋_GB2312" w:cs="仿宋_GB2312" w:eastAsia="仿宋_GB2312"/>
              </w:rPr>
              <w:t>1.管理及维保服务方案详细全面，科学合理，可实施性高，能够有利保证立体车库的正常运作，得25.1-35分； 2.管理及维保服务方案基本详细全面，科学合理，具有可实施性得15.1-25分； 3.管理及维保服务一般，较为科学合理得8.1-15分； 4.管理及维保服务方案较为简略，不够全面详细，可实施性不足，存在漏洞和隐患得0.1-8分； 5.未提供不得分。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服务质量及保证措施</w:t>
            </w:r>
          </w:p>
        </w:tc>
        <w:tc>
          <w:tcPr>
            <w:tcW w:type="dxa" w:w="2492"/>
          </w:tcPr>
          <w:p>
            <w:pPr>
              <w:pStyle w:val="null3"/>
            </w:pPr>
            <w:r>
              <w:rPr>
                <w:rFonts w:ascii="仿宋_GB2312" w:hAnsi="仿宋_GB2312" w:cs="仿宋_GB2312" w:eastAsia="仿宋_GB2312"/>
              </w:rPr>
              <w:t>1.质量保证措施完善，可行性高，有详细管理、检查与考核标准，得7.1-10分； 2.质量保证措施较为完善，具有一定的可行性，管理、检查与考核标准较为详细全面、较为科学合理，得3.1-7分； 3.质量保证措施不够完善全面，可行性较差，管理、检查与考核标准不够详细，不够科学合理得0.1-3分。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服务机具及劳动力</w:t>
            </w:r>
          </w:p>
        </w:tc>
        <w:tc>
          <w:tcPr>
            <w:tcW w:type="dxa" w:w="2492"/>
          </w:tcPr>
          <w:p>
            <w:pPr>
              <w:pStyle w:val="null3"/>
            </w:pPr>
            <w:r>
              <w:rPr>
                <w:rFonts w:ascii="仿宋_GB2312" w:hAnsi="仿宋_GB2312" w:cs="仿宋_GB2312" w:eastAsia="仿宋_GB2312"/>
              </w:rPr>
              <w:t>主要机具、设备和劳动力配备情况：磋商小组根据供应商响应情况进行综合评审。 1.设备配套完整，人员配备合理完善，能够满足采购需求，得7.1-10分； 2.设备配套一般，人员配备基本合理，得3.1-7分； 3.设备配套较差，人员配备不合理，岗位职责不清晰，得0.1-3分；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1.应急预案考虑周全，方案描述详细，科学合理，可靠性高得7.1-10分； 2.应急预案较为全面详细，较为科学合理得3.1-7分； 3.应急预案不够全面详细，科学合理性较差得0.1-3分；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保险理赔</w:t>
            </w:r>
          </w:p>
        </w:tc>
        <w:tc>
          <w:tcPr>
            <w:tcW w:type="dxa" w:w="2492"/>
          </w:tcPr>
          <w:p>
            <w:pPr>
              <w:pStyle w:val="null3"/>
            </w:pPr>
            <w:r>
              <w:rPr>
                <w:rFonts w:ascii="仿宋_GB2312" w:hAnsi="仿宋_GB2312" w:cs="仿宋_GB2312" w:eastAsia="仿宋_GB2312"/>
              </w:rPr>
              <w:t>1.保险及事故理赔方案全面详细、合理，得7.1-10分； 2.保险及事故理赔方案较为全面详细合理，得3.1-7分； 3.保险及事故理赔方案不够全面详细合理，得0.1-3分；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提供自2023年1月1日至今（以合同签订日期为准）类似项目的业绩合同，每份得2分，满分10分。 注：需提供项目合同或协议的关键页（包括但不限于合同首尾页、项目内容页，签字盖章页）扫描件，加盖公章。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服务评价</w:t>
            </w:r>
          </w:p>
        </w:tc>
        <w:tc>
          <w:tcPr>
            <w:tcW w:type="dxa" w:w="2492"/>
          </w:tcPr>
          <w:p>
            <w:pPr>
              <w:pStyle w:val="null3"/>
            </w:pPr>
            <w:r>
              <w:rPr>
                <w:rFonts w:ascii="仿宋_GB2312" w:hAnsi="仿宋_GB2312" w:cs="仿宋_GB2312" w:eastAsia="仿宋_GB2312"/>
              </w:rPr>
              <w:t>提供近3年（2023年1月1日至今）类似项目用户满意服务评价证明，每提供一份有效证明得1分，本项最高5分。（与所提供有效业绩合同对应，否则不得分）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