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337D4">
      <w:pPr>
        <w:spacing w:line="360" w:lineRule="auto"/>
        <w:jc w:val="center"/>
        <w:rPr>
          <w:rFonts w:hint="eastAsia" w:ascii="宋体" w:hAnsi="宋体" w:eastAsia="宋体" w:cs="宋体"/>
          <w:b/>
          <w:bCs/>
          <w:spacing w:val="0"/>
          <w:position w:val="0"/>
          <w:sz w:val="36"/>
          <w:szCs w:val="36"/>
          <w:highlight w:val="none"/>
        </w:rPr>
      </w:pPr>
      <w:r>
        <w:rPr>
          <w:rFonts w:hint="eastAsia" w:ascii="宋体" w:hAnsi="宋体" w:eastAsia="宋体" w:cs="宋体"/>
          <w:b/>
          <w:bCs/>
          <w:spacing w:val="0"/>
          <w:position w:val="0"/>
          <w:sz w:val="28"/>
          <w:szCs w:val="28"/>
          <w:highlight w:val="none"/>
        </w:rPr>
        <w:t>合同草案条款</w:t>
      </w:r>
    </w:p>
    <w:p w14:paraId="470AEBB0">
      <w:pPr>
        <w:tabs>
          <w:tab w:val="left" w:pos="735"/>
        </w:tabs>
        <w:autoSpaceDE w:val="0"/>
        <w:autoSpaceDN w:val="0"/>
        <w:adjustRightInd w:val="0"/>
        <w:snapToGrid w:val="0"/>
        <w:spacing w:line="360" w:lineRule="auto"/>
        <w:ind w:firstLine="631"/>
        <w:rPr>
          <w:rFonts w:ascii="宋体" w:hAnsi="宋体" w:eastAsiaTheme="minorEastAsia"/>
          <w:b/>
          <w:bCs/>
          <w:color w:val="auto"/>
          <w:sz w:val="24"/>
          <w:highlight w:val="none"/>
        </w:rPr>
      </w:pPr>
      <w:r>
        <w:rPr>
          <w:rFonts w:hint="eastAsia" w:ascii="宋体" w:hAnsi="宋体"/>
          <w:b/>
          <w:bCs/>
          <w:color w:val="auto"/>
          <w:sz w:val="24"/>
          <w:highlight w:val="none"/>
          <w:lang w:val="zh-CN"/>
        </w:rPr>
        <w:t>采购人（以下简称甲方）：</w:t>
      </w:r>
      <w:r>
        <w:rPr>
          <w:rFonts w:hint="eastAsia" w:ascii="宋体" w:hAnsi="宋体"/>
          <w:b/>
          <w:bCs/>
          <w:color w:val="auto"/>
          <w:sz w:val="24"/>
          <w:highlight w:val="none"/>
          <w:u w:val="single"/>
        </w:rPr>
        <w:t xml:space="preserve">                         </w:t>
      </w:r>
    </w:p>
    <w:p w14:paraId="50A2E045">
      <w:pPr>
        <w:tabs>
          <w:tab w:val="left" w:pos="735"/>
        </w:tabs>
        <w:autoSpaceDE w:val="0"/>
        <w:autoSpaceDN w:val="0"/>
        <w:adjustRightInd w:val="0"/>
        <w:snapToGrid w:val="0"/>
        <w:spacing w:line="360" w:lineRule="auto"/>
        <w:ind w:firstLine="631"/>
        <w:rPr>
          <w:rFonts w:ascii="宋体" w:hAnsi="宋体"/>
          <w:bCs/>
          <w:color w:val="auto"/>
          <w:sz w:val="24"/>
          <w:highlight w:val="none"/>
          <w:lang w:val="zh-CN"/>
        </w:rPr>
      </w:pPr>
      <w:r>
        <w:rPr>
          <w:rFonts w:hint="eastAsia" w:ascii="宋体" w:hAnsi="宋体"/>
          <w:b/>
          <w:bCs/>
          <w:color w:val="auto"/>
          <w:sz w:val="24"/>
          <w:highlight w:val="none"/>
          <w:lang w:val="zh-CN"/>
        </w:rPr>
        <w:t>供应商（以下简称乙方）：</w:t>
      </w:r>
      <w:r>
        <w:rPr>
          <w:rFonts w:hint="eastAsia" w:ascii="宋体" w:hAnsi="宋体"/>
          <w:b/>
          <w:bCs/>
          <w:color w:val="auto"/>
          <w:sz w:val="24"/>
          <w:highlight w:val="none"/>
          <w:u w:val="single"/>
          <w:lang w:val="zh-CN"/>
        </w:rPr>
        <w:t xml:space="preserve">                         </w:t>
      </w:r>
    </w:p>
    <w:p w14:paraId="75ACC41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根据《中华人民共和国政府采购法》《中华人民共和国民法典》及相关法律法规，甲、乙双方就</w:t>
      </w:r>
      <w:r>
        <w:rPr>
          <w:rFonts w:hint="eastAsia" w:ascii="宋体" w:hAnsi="宋体" w:cs="宋体"/>
          <w:color w:val="auto"/>
          <w:sz w:val="24"/>
          <w:highlight w:val="none"/>
          <w:lang w:eastAsia="zh-CN"/>
        </w:rPr>
        <w:t>陕西省公安厅购买无人机巡查服务采购项目（2026年度）</w:t>
      </w:r>
      <w:r>
        <w:rPr>
          <w:rFonts w:hint="eastAsia" w:ascii="宋体" w:hAnsi="宋体" w:cs="宋体"/>
          <w:color w:val="auto"/>
          <w:sz w:val="24"/>
          <w:highlight w:val="none"/>
        </w:rPr>
        <w:t>事宜，经协商一致，达成如下协议：</w:t>
      </w:r>
    </w:p>
    <w:p w14:paraId="6F6A483D">
      <w:pPr>
        <w:pStyle w:val="6"/>
        <w:spacing w:line="360" w:lineRule="auto"/>
        <w:ind w:firstLine="0" w:firstLineChars="0"/>
        <w:jc w:val="left"/>
        <w:rPr>
          <w:rFonts w:ascii="宋体" w:hAnsi="宋体" w:cs="宋体"/>
          <w:b/>
          <w:color w:val="auto"/>
          <w:sz w:val="24"/>
          <w:szCs w:val="22"/>
          <w:highlight w:val="none"/>
        </w:rPr>
      </w:pPr>
      <w:r>
        <w:rPr>
          <w:rFonts w:hint="eastAsia" w:ascii="宋体" w:hAnsi="宋体" w:cs="宋体"/>
          <w:b/>
          <w:color w:val="auto"/>
          <w:sz w:val="24"/>
          <w:szCs w:val="22"/>
          <w:highlight w:val="none"/>
        </w:rPr>
        <w:t>一、合同内容</w:t>
      </w:r>
    </w:p>
    <w:p w14:paraId="347F6B34">
      <w:pPr>
        <w:pStyle w:val="6"/>
        <w:spacing w:line="360" w:lineRule="auto"/>
        <w:ind w:firstLine="480"/>
        <w:jc w:val="left"/>
        <w:rPr>
          <w:rFonts w:ascii="宋体" w:hAnsi="宋体" w:cs="宋体"/>
          <w:color w:val="auto"/>
          <w:sz w:val="24"/>
          <w:highlight w:val="none"/>
        </w:rPr>
      </w:pPr>
      <w:r>
        <w:rPr>
          <w:rFonts w:hint="eastAsia" w:ascii="宋体" w:hAnsi="宋体" w:cs="宋体"/>
          <w:sz w:val="24"/>
          <w:highlight w:val="none"/>
          <w:lang w:eastAsia="zh-CN"/>
        </w:rPr>
        <w:t>陕西省公安厅购买无人机巡查服务采购项目（2026年度），</w:t>
      </w:r>
      <w:r>
        <w:rPr>
          <w:rFonts w:hint="eastAsia" w:ascii="宋体" w:hAnsi="宋体" w:cs="宋体"/>
          <w:color w:val="auto"/>
          <w:sz w:val="24"/>
          <w:highlight w:val="none"/>
        </w:rPr>
        <w:t>具体内容详见磋商文件。</w:t>
      </w:r>
    </w:p>
    <w:p w14:paraId="2B55C46C">
      <w:pPr>
        <w:pStyle w:val="6"/>
        <w:spacing w:line="360" w:lineRule="auto"/>
        <w:ind w:firstLine="0" w:firstLineChars="0"/>
        <w:jc w:val="left"/>
        <w:rPr>
          <w:rFonts w:ascii="宋体" w:hAnsi="宋体" w:cs="宋体"/>
          <w:b/>
          <w:color w:val="auto"/>
          <w:sz w:val="24"/>
          <w:szCs w:val="22"/>
          <w:highlight w:val="none"/>
        </w:rPr>
      </w:pPr>
      <w:r>
        <w:rPr>
          <w:rFonts w:hint="eastAsia" w:ascii="宋体" w:hAnsi="宋体" w:cs="宋体"/>
          <w:b/>
          <w:color w:val="auto"/>
          <w:sz w:val="24"/>
          <w:szCs w:val="22"/>
          <w:highlight w:val="none"/>
        </w:rPr>
        <w:t>二、合同组成</w:t>
      </w:r>
      <w:bookmarkStart w:id="0" w:name="_GoBack"/>
      <w:bookmarkEnd w:id="0"/>
    </w:p>
    <w:p w14:paraId="6494D026">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1.下述文件是构成本合同不可分割的部分:</w:t>
      </w:r>
    </w:p>
    <w:p w14:paraId="11C31CF0">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（1）本合同条款及其所有附件。</w:t>
      </w:r>
    </w:p>
    <w:p w14:paraId="7CF7D975">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（2）甲方的磋商文件及澄清文件。</w:t>
      </w:r>
    </w:p>
    <w:p w14:paraId="75D7BFF9">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（3）乙方的磋商响应文件及质疑解答文件。</w:t>
      </w:r>
    </w:p>
    <w:p w14:paraId="1F3844C6">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（4）成交通知书。</w:t>
      </w:r>
    </w:p>
    <w:p w14:paraId="11DC8645">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（5）法定代表人授权书。</w:t>
      </w:r>
    </w:p>
    <w:p w14:paraId="567A44E6">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（6）双方与合同有关的往来信函、传真经双方法定代表人或其授权代表签字并加盖单位公章确认后视为本合同的组成部分。</w:t>
      </w:r>
    </w:p>
    <w:p w14:paraId="0F9FE2F2">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（7）经双方法定代表人或其授权代表签字并加盖单位公章确认的补充协议。</w:t>
      </w:r>
    </w:p>
    <w:p w14:paraId="09D5DDDA">
      <w:pPr>
        <w:tabs>
          <w:tab w:val="left" w:pos="735"/>
        </w:tabs>
        <w:adjustRightInd w:val="0"/>
        <w:snapToGrid w:val="0"/>
        <w:spacing w:line="360" w:lineRule="auto"/>
        <w:ind w:firstLine="504" w:firstLineChars="210"/>
        <w:rPr>
          <w:rFonts w:ascii="宋体" w:hAnsi="宋体" w:cs="宋体"/>
          <w:color w:val="auto"/>
          <w:sz w:val="24"/>
          <w:highlight w:val="none"/>
        </w:rPr>
      </w:pPr>
      <w:r>
        <w:rPr>
          <w:rFonts w:hint="eastAsia" w:ascii="宋体" w:hAnsi="宋体" w:cs="宋体"/>
          <w:color w:val="auto"/>
          <w:sz w:val="24"/>
          <w:highlight w:val="none"/>
        </w:rPr>
        <w:t>2.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如果合同附件之间有矛盾之处，以有利于甲方的附件内容为准。</w:t>
      </w:r>
    </w:p>
    <w:p w14:paraId="2A88B23E">
      <w:pPr>
        <w:snapToGrid w:val="0"/>
        <w:spacing w:line="360" w:lineRule="auto"/>
        <w:ind w:firstLine="480" w:firstLineChars="200"/>
        <w:textAlignment w:val="baseline"/>
        <w:rPr>
          <w:rFonts w:ascii="宋体"/>
          <w:color w:val="auto"/>
          <w:kern w:val="0"/>
          <w:sz w:val="24"/>
          <w:highlight w:val="none"/>
          <w:u w:color="000000"/>
        </w:rPr>
      </w:pPr>
      <w:r>
        <w:rPr>
          <w:rFonts w:hint="eastAsia" w:ascii="宋体" w:hAnsi="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01650D35">
      <w:pPr>
        <w:snapToGrid w:val="0"/>
        <w:spacing w:line="360" w:lineRule="auto"/>
        <w:textAlignment w:val="baseline"/>
        <w:rPr>
          <w:rFonts w:hint="eastAsia" w:ascii="宋体" w:hAnsi="宋体" w:eastAsia="宋体" w:cs="宋体"/>
          <w:b/>
          <w:bCs/>
          <w:color w:val="auto"/>
          <w:kern w:val="0"/>
          <w:sz w:val="24"/>
          <w:highlight w:val="none"/>
          <w:u w:color="000000"/>
          <w:lang w:eastAsia="zh-CN"/>
        </w:rPr>
      </w:pPr>
      <w:r>
        <w:rPr>
          <w:rFonts w:hint="eastAsia" w:ascii="宋体" w:hAnsi="宋体" w:cs="宋体"/>
          <w:b/>
          <w:bCs/>
          <w:color w:val="auto"/>
          <w:kern w:val="0"/>
          <w:sz w:val="24"/>
          <w:highlight w:val="none"/>
          <w:u w:color="000000"/>
          <w:lang w:val="en-US" w:eastAsia="zh-CN"/>
        </w:rPr>
        <w:t>三、</w:t>
      </w:r>
      <w:r>
        <w:rPr>
          <w:rFonts w:hint="eastAsia" w:ascii="宋体" w:hAnsi="宋体" w:cs="宋体"/>
          <w:b/>
          <w:bCs/>
          <w:color w:val="auto"/>
          <w:kern w:val="0"/>
          <w:sz w:val="24"/>
          <w:highlight w:val="none"/>
          <w:u w:color="000000"/>
          <w:lang w:eastAsia="zh-CN"/>
        </w:rPr>
        <w:t>服务期、</w:t>
      </w:r>
      <w:r>
        <w:rPr>
          <w:rFonts w:hint="eastAsia" w:ascii="宋体" w:hAnsi="宋体" w:cs="宋体"/>
          <w:b/>
          <w:bCs/>
          <w:color w:val="auto"/>
          <w:kern w:val="0"/>
          <w:sz w:val="24"/>
          <w:highlight w:val="none"/>
          <w:u w:color="000000"/>
        </w:rPr>
        <w:t>服务地点</w:t>
      </w:r>
    </w:p>
    <w:p w14:paraId="51AC4C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lang w:eastAsia="zh-CN"/>
        </w:rPr>
        <w:t>服务</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合同签订之日起120日历天。</w:t>
      </w:r>
    </w:p>
    <w:p w14:paraId="082A763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服务地点：</w:t>
      </w:r>
      <w:r>
        <w:rPr>
          <w:rFonts w:hint="eastAsia" w:ascii="宋体" w:hAnsi="宋体" w:eastAsia="宋体" w:cs="宋体"/>
          <w:color w:val="auto"/>
          <w:sz w:val="24"/>
          <w:highlight w:val="none"/>
        </w:rPr>
        <w:t>采购人指定地点。</w:t>
      </w:r>
    </w:p>
    <w:p w14:paraId="4492D0D7">
      <w:pPr>
        <w:snapToGrid w:val="0"/>
        <w:spacing w:line="360" w:lineRule="auto"/>
        <w:textAlignment w:val="baseline"/>
        <w:rPr>
          <w:rFonts w:ascii="宋体"/>
          <w:b/>
          <w:bCs/>
          <w:color w:val="auto"/>
          <w:kern w:val="0"/>
          <w:sz w:val="24"/>
          <w:highlight w:val="none"/>
          <w:u w:color="000000"/>
        </w:rPr>
      </w:pPr>
      <w:r>
        <w:rPr>
          <w:rFonts w:hint="eastAsia" w:ascii="宋体" w:hAnsi="宋体" w:cs="宋体"/>
          <w:b/>
          <w:bCs/>
          <w:color w:val="auto"/>
          <w:kern w:val="0"/>
          <w:sz w:val="24"/>
          <w:highlight w:val="none"/>
          <w:u w:color="000000"/>
          <w:lang w:val="en-US" w:eastAsia="zh-CN"/>
        </w:rPr>
        <w:t>四</w:t>
      </w:r>
      <w:r>
        <w:rPr>
          <w:rFonts w:hint="eastAsia" w:ascii="宋体" w:hAnsi="宋体" w:cs="宋体"/>
          <w:b/>
          <w:bCs/>
          <w:color w:val="auto"/>
          <w:kern w:val="0"/>
          <w:sz w:val="24"/>
          <w:highlight w:val="none"/>
          <w:u w:color="000000"/>
        </w:rPr>
        <w:t>、合同价款</w:t>
      </w:r>
    </w:p>
    <w:p w14:paraId="325517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hint="eastAsia" w:ascii="宋体" w:hAnsi="宋体" w:cs="宋体"/>
          <w:color w:val="auto"/>
          <w:kern w:val="0"/>
          <w:sz w:val="24"/>
          <w:highlight w:val="none"/>
          <w:u w:color="000000"/>
          <w:lang w:eastAsia="zh-CN"/>
        </w:rPr>
      </w:pPr>
      <w:r>
        <w:rPr>
          <w:rFonts w:hint="eastAsia" w:ascii="宋体" w:hAnsi="宋体" w:cs="宋体"/>
          <w:color w:val="auto"/>
          <w:kern w:val="0"/>
          <w:sz w:val="24"/>
          <w:highlight w:val="none"/>
          <w:u w:color="000000"/>
          <w:lang w:eastAsia="zh-CN"/>
        </w:rPr>
        <w:t>合同价款：</w:t>
      </w:r>
      <w:r>
        <w:rPr>
          <w:rFonts w:hint="eastAsia" w:ascii="宋体" w:hAnsi="宋体" w:cs="宋体"/>
          <w:color w:val="auto"/>
          <w:kern w:val="0"/>
          <w:sz w:val="24"/>
          <w:highlight w:val="none"/>
          <w:u w:color="000000"/>
        </w:rPr>
        <w:t>合同为固定</w:t>
      </w:r>
      <w:r>
        <w:rPr>
          <w:rFonts w:hint="eastAsia" w:ascii="宋体" w:hAnsi="宋体" w:cs="宋体"/>
          <w:color w:val="auto"/>
          <w:kern w:val="0"/>
          <w:sz w:val="24"/>
          <w:highlight w:val="none"/>
          <w:u w:color="000000"/>
          <w:lang w:eastAsia="zh-CN"/>
        </w:rPr>
        <w:t>总</w:t>
      </w:r>
      <w:r>
        <w:rPr>
          <w:rFonts w:hint="eastAsia" w:ascii="宋体" w:hAnsi="宋体" w:cs="宋体"/>
          <w:color w:val="auto"/>
          <w:kern w:val="0"/>
          <w:sz w:val="24"/>
          <w:highlight w:val="none"/>
          <w:u w:color="000000"/>
        </w:rPr>
        <w:t>价合同</w:t>
      </w:r>
      <w:r>
        <w:rPr>
          <w:rFonts w:hint="eastAsia" w:ascii="宋体" w:hAnsi="宋体" w:cs="宋体"/>
          <w:color w:val="auto"/>
          <w:kern w:val="0"/>
          <w:sz w:val="24"/>
          <w:highlight w:val="none"/>
          <w:u w:color="000000"/>
          <w:lang w:eastAsia="zh-CN"/>
        </w:rPr>
        <w:t>。</w:t>
      </w:r>
    </w:p>
    <w:p w14:paraId="153A8EC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hint="eastAsia" w:ascii="宋体" w:hAnsi="宋体" w:cs="宋体"/>
          <w:b/>
          <w:bCs/>
          <w:color w:val="auto"/>
          <w:kern w:val="0"/>
          <w:sz w:val="24"/>
          <w:highlight w:val="none"/>
          <w:u w:color="000000"/>
        </w:rPr>
      </w:pPr>
      <w:r>
        <w:rPr>
          <w:rFonts w:hint="eastAsia" w:ascii="宋体" w:hAnsi="宋体" w:cs="宋体"/>
          <w:color w:val="auto"/>
          <w:kern w:val="0"/>
          <w:sz w:val="24"/>
          <w:highlight w:val="none"/>
          <w:u w:color="000000"/>
        </w:rPr>
        <w:t>合同总价款为人民币（大写）</w:t>
      </w:r>
      <w:r>
        <w:rPr>
          <w:rFonts w:hint="eastAsia" w:ascii="宋体" w:hAnsi="宋体" w:cs="宋体"/>
          <w:color w:val="auto"/>
          <w:kern w:val="0"/>
          <w:sz w:val="24"/>
          <w:highlight w:val="none"/>
          <w:u w:val="single" w:color="auto"/>
          <w:lang w:val="en-US" w:eastAsia="zh-CN"/>
        </w:rPr>
        <w:t xml:space="preserve">                 </w:t>
      </w:r>
      <w:r>
        <w:rPr>
          <w:rFonts w:hint="eastAsia" w:ascii="宋体" w:hAnsi="宋体" w:cs="宋体"/>
          <w:color w:val="auto"/>
          <w:kern w:val="0"/>
          <w:sz w:val="24"/>
          <w:highlight w:val="none"/>
          <w:u w:color="000000"/>
        </w:rPr>
        <w:t>（￥</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color="000000"/>
        </w:rPr>
        <w:t>）</w:t>
      </w:r>
      <w:r>
        <w:rPr>
          <w:rFonts w:hint="eastAsia" w:ascii="宋体" w:hAnsi="宋体" w:cs="宋体"/>
          <w:color w:val="auto"/>
          <w:kern w:val="0"/>
          <w:sz w:val="24"/>
          <w:highlight w:val="none"/>
          <w:u w:color="000000"/>
          <w:lang w:eastAsia="zh-CN"/>
        </w:rPr>
        <w:t>，</w:t>
      </w:r>
      <w:r>
        <w:rPr>
          <w:rFonts w:hint="eastAsia" w:ascii="宋体" w:hAnsi="宋体" w:cs="宋体"/>
          <w:color w:val="auto"/>
          <w:kern w:val="0"/>
          <w:sz w:val="24"/>
          <w:highlight w:val="none"/>
          <w:u w:color="000000"/>
          <w:lang w:val="en-US" w:eastAsia="zh-CN"/>
        </w:rPr>
        <w:t>包括完成项目完成过程中的所有费用。</w:t>
      </w:r>
      <w:r>
        <w:rPr>
          <w:rFonts w:hint="eastAsia" w:ascii="宋体" w:hAnsi="宋体" w:eastAsia="宋体" w:cs="宋体"/>
          <w:color w:val="auto"/>
          <w:sz w:val="24"/>
          <w:highlight w:val="none"/>
          <w:lang w:val="en-US" w:eastAsia="zh-CN"/>
        </w:rPr>
        <w:t>固定总价不因任何因素变化而调整。</w:t>
      </w:r>
    </w:p>
    <w:p w14:paraId="6E6135B2">
      <w:pPr>
        <w:snapToGrid w:val="0"/>
        <w:spacing w:line="360" w:lineRule="auto"/>
        <w:textAlignment w:val="baseline"/>
        <w:rPr>
          <w:rFonts w:ascii="宋体"/>
          <w:b/>
          <w:bCs/>
          <w:color w:val="auto"/>
          <w:kern w:val="0"/>
          <w:sz w:val="24"/>
          <w:highlight w:val="none"/>
          <w:u w:color="000000"/>
        </w:rPr>
      </w:pPr>
      <w:r>
        <w:rPr>
          <w:rFonts w:hint="eastAsia" w:ascii="宋体" w:hAnsi="宋体" w:cs="宋体"/>
          <w:b/>
          <w:bCs/>
          <w:color w:val="auto"/>
          <w:kern w:val="0"/>
          <w:sz w:val="24"/>
          <w:highlight w:val="none"/>
          <w:u w:color="000000"/>
          <w:lang w:val="en-US" w:eastAsia="zh-CN"/>
        </w:rPr>
        <w:t>五</w:t>
      </w:r>
      <w:r>
        <w:rPr>
          <w:rFonts w:hint="eastAsia" w:ascii="宋体" w:hAnsi="宋体" w:cs="宋体"/>
          <w:b/>
          <w:bCs/>
          <w:color w:val="auto"/>
          <w:kern w:val="0"/>
          <w:sz w:val="24"/>
          <w:highlight w:val="none"/>
          <w:u w:color="000000"/>
        </w:rPr>
        <w:t>、合同结算</w:t>
      </w:r>
    </w:p>
    <w:p w14:paraId="0B0ED3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ascii="宋体"/>
          <w:color w:val="auto"/>
          <w:kern w:val="0"/>
          <w:sz w:val="24"/>
          <w:highlight w:val="none"/>
          <w:u w:color="000000"/>
        </w:rPr>
      </w:pPr>
      <w:r>
        <w:rPr>
          <w:rFonts w:hint="eastAsia" w:ascii="宋体" w:hAnsi="宋体" w:cs="宋体"/>
          <w:color w:val="auto"/>
          <w:kern w:val="0"/>
          <w:sz w:val="24"/>
          <w:highlight w:val="none"/>
          <w:u w:color="000000"/>
          <w:lang w:val="en-US" w:eastAsia="zh-CN"/>
        </w:rPr>
        <w:t>1.</w:t>
      </w:r>
      <w:r>
        <w:rPr>
          <w:rFonts w:hint="eastAsia" w:ascii="宋体" w:hAnsi="宋体" w:cs="宋体"/>
          <w:color w:val="auto"/>
          <w:kern w:val="0"/>
          <w:sz w:val="24"/>
          <w:highlight w:val="none"/>
          <w:u w:color="000000"/>
        </w:rPr>
        <w:t>合同款的支付：以甲方最终签订的合同为准。</w:t>
      </w:r>
    </w:p>
    <w:p w14:paraId="3DEFC34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baseline"/>
        <w:rPr>
          <w:rFonts w:ascii="宋体"/>
          <w:color w:val="auto"/>
          <w:kern w:val="0"/>
          <w:sz w:val="24"/>
          <w:highlight w:val="none"/>
          <w:u w:color="000000"/>
        </w:rPr>
      </w:pPr>
      <w:r>
        <w:rPr>
          <w:rFonts w:hint="eastAsia" w:ascii="宋体" w:hAnsi="宋体" w:cs="宋体"/>
          <w:color w:val="auto"/>
          <w:kern w:val="0"/>
          <w:sz w:val="24"/>
          <w:highlight w:val="none"/>
          <w:u w:color="000000"/>
          <w:lang w:val="en-US" w:eastAsia="zh-CN"/>
        </w:rPr>
        <w:t>2.</w:t>
      </w:r>
      <w:r>
        <w:rPr>
          <w:rFonts w:hint="eastAsia" w:ascii="宋体" w:hAnsi="宋体" w:cs="宋体"/>
          <w:color w:val="auto"/>
          <w:kern w:val="0"/>
          <w:sz w:val="24"/>
          <w:highlight w:val="none"/>
          <w:u w:color="000000"/>
        </w:rPr>
        <w:t>支付方式：银行转账。</w:t>
      </w:r>
    </w:p>
    <w:p w14:paraId="06A816A7">
      <w:pPr>
        <w:spacing w:line="360" w:lineRule="auto"/>
        <w:ind w:firstLine="480" w:firstLineChars="200"/>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auto"/>
          <w:kern w:val="0"/>
          <w:sz w:val="24"/>
          <w:highlight w:val="none"/>
          <w:u w:color="000000"/>
          <w:lang w:val="en-US" w:eastAsia="zh-CN"/>
        </w:rPr>
        <w:t>3.</w:t>
      </w:r>
      <w:r>
        <w:rPr>
          <w:rFonts w:hint="eastAsia" w:ascii="宋体" w:hAnsi="宋体" w:cs="宋体"/>
          <w:color w:val="auto"/>
          <w:kern w:val="0"/>
          <w:sz w:val="24"/>
          <w:highlight w:val="none"/>
          <w:u w:color="000000"/>
        </w:rPr>
        <w:t>付款方式：</w:t>
      </w:r>
      <w:r>
        <w:rPr>
          <w:rFonts w:hint="eastAsia" w:ascii="宋体" w:hAnsi="宋体" w:cs="宋体"/>
          <w:sz w:val="24"/>
          <w:highlight w:val="none"/>
        </w:rPr>
        <w:t>按绩效评分制予以支付费用</w:t>
      </w:r>
      <w:r>
        <w:rPr>
          <w:rFonts w:hint="eastAsia" w:ascii="宋体" w:hAnsi="宋体" w:cs="宋体"/>
          <w:sz w:val="24"/>
          <w:highlight w:val="none"/>
          <w:lang w:eastAsia="zh-CN"/>
        </w:rPr>
        <w:t>。</w:t>
      </w:r>
    </w:p>
    <w:p w14:paraId="79315F5C">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根据任务完成的情况进行打分，以区县为单位，供应商配合采购人核查发现非法种植毒品原植物罂粟核查[500-1000）株计5分；核查[1000-2000）株计7分；核查[2000-3000）株计8分；核查[3000株以上，不满5000）株计10分，核查≥5000株以上计12分。毒品原植物大麻换算标准:罂粟株数*10。</w:t>
      </w:r>
    </w:p>
    <w:p w14:paraId="0631193A">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全省重点区县总体平均≥8分以上、航测面积≥5357平方公里、核查准确率达到≥95%，满足两项全额支付费用；</w:t>
      </w:r>
    </w:p>
    <w:p w14:paraId="30A5C41D">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重点区县总体平均[5-8）分、航测面积[4000-5357）平方公里的、核查准确率[85%-95%），满足两项支付总费用80%；</w:t>
      </w:r>
    </w:p>
    <w:p w14:paraId="0D7F829E">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重点区县总体平均＜5分、航测面积[3000-4000）平方公里的、核查准确率[75%-85%），满足两项支付总费用50%。</w:t>
      </w:r>
    </w:p>
    <w:p w14:paraId="7C96D618">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供应商数据准确率＜75%或航测面积＜3000平方公里，即要求重新执行任务。</w:t>
      </w:r>
    </w:p>
    <w:p w14:paraId="360FFBA4">
      <w:pPr>
        <w:pStyle w:val="2"/>
        <w:keepNext w:val="0"/>
        <w:keepLines w:val="0"/>
        <w:pageBreakBefore w:val="0"/>
        <w:widowControl/>
        <w:kinsoku w:val="0"/>
        <w:wordWrap/>
        <w:overflowPunct/>
        <w:topLinePunct w:val="0"/>
        <w:autoSpaceDE w:val="0"/>
        <w:autoSpaceDN w:val="0"/>
        <w:bidi w:val="0"/>
        <w:adjustRightInd w:val="0"/>
        <w:snapToGrid w:val="0"/>
        <w:spacing w:after="0"/>
        <w:ind w:firstLine="480" w:firstLineChars="200"/>
        <w:textAlignment w:val="baseline"/>
        <w:rPr>
          <w:rFonts w:hint="eastAsia" w:ascii="宋体" w:hAnsi="宋体" w:eastAsia="Arial" w:cs="宋体"/>
          <w:snapToGrid w:val="0"/>
          <w:color w:val="000000"/>
          <w:kern w:val="0"/>
          <w:sz w:val="24"/>
          <w:szCs w:val="21"/>
          <w:highlight w:val="none"/>
          <w:lang w:val="en-US" w:eastAsia="zh-CN" w:bidi="ar-SA"/>
        </w:rPr>
      </w:pPr>
      <w:r>
        <w:rPr>
          <w:rFonts w:hint="eastAsia" w:ascii="宋体" w:hAnsi="宋体" w:eastAsia="Arial" w:cs="宋体"/>
          <w:snapToGrid w:val="0"/>
          <w:color w:val="000000"/>
          <w:kern w:val="0"/>
          <w:sz w:val="24"/>
          <w:szCs w:val="21"/>
          <w:highlight w:val="none"/>
          <w:lang w:val="en-US" w:eastAsia="zh-CN" w:bidi="ar-SA"/>
        </w:rPr>
        <w:t>备注：“[”包括本数，“)”不包括本数。</w:t>
      </w:r>
    </w:p>
    <w:p w14:paraId="78745918">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付款依据：满足付款条件的情况下，供应商应向采购人出具书面付款通知（注明开户行及账户信息）以及符合国家财税规定的增值税发票，否则采购人有权延迟履行付款义务。如因供应商缘故（如开具增值税发票延误等）导致采购人无法按时付款，采购人不承担违约责任。</w:t>
      </w:r>
    </w:p>
    <w:p w14:paraId="29C5312A">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.乙方开户银行指定账户为：</w:t>
      </w:r>
    </w:p>
    <w:p w14:paraId="2D03CE8D">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09354788">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175D921D">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4B891801">
      <w:pPr>
        <w:pStyle w:val="3"/>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en-US" w:eastAsia="zh-CN"/>
        </w:rPr>
      </w:pPr>
      <w:r>
        <w:rPr>
          <w:rFonts w:hint="eastAsia"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cs="宋体"/>
          <w:b/>
          <w:bCs/>
          <w:kern w:val="0"/>
          <w:sz w:val="24"/>
          <w:szCs w:val="24"/>
          <w:highlight w:val="none"/>
          <w:u w:val="none" w:color="000000"/>
        </w:rPr>
        <w:t>双方的权利和义务</w:t>
      </w:r>
    </w:p>
    <w:p w14:paraId="52F19A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rPr>
        <w:t>（一）甲方的权利和义务：</w:t>
      </w:r>
    </w:p>
    <w:p w14:paraId="006108A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负责检查监督乙方管理工作的实施及制度的执行情况；</w:t>
      </w:r>
    </w:p>
    <w:p w14:paraId="7E6E15B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根据本合同规定，按时向乙方支付应付服务费用；</w:t>
      </w:r>
    </w:p>
    <w:p w14:paraId="70DDACB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．国家法律、法规所规定由甲方承担的其它责任</w:t>
      </w:r>
      <w:r>
        <w:rPr>
          <w:rFonts w:hint="eastAsia" w:ascii="宋体" w:hAnsi="宋体" w:cs="宋体"/>
          <w:color w:val="auto"/>
          <w:sz w:val="24"/>
          <w:highlight w:val="none"/>
          <w:lang w:eastAsia="zh-CN"/>
        </w:rPr>
        <w:t>；</w:t>
      </w:r>
    </w:p>
    <w:p w14:paraId="0B59F89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.甲方将向乙方提供为完成服务工作所需要的信息、资料和其他相关协助。</w:t>
      </w:r>
    </w:p>
    <w:p w14:paraId="2103952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.甲方若认为乙方履行合同不力严重影响项目服务质量，甲方有权要求更换乙方主要人员，直至终止合同</w:t>
      </w:r>
      <w:r>
        <w:rPr>
          <w:rFonts w:hint="eastAsia" w:ascii="宋体" w:hAnsi="宋体" w:cs="宋体"/>
          <w:color w:val="auto"/>
          <w:sz w:val="24"/>
          <w:highlight w:val="none"/>
          <w:lang w:eastAsia="zh-CN"/>
        </w:rPr>
        <w:t>；</w:t>
      </w:r>
    </w:p>
    <w:p w14:paraId="39ED5F8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6.甲方有权阐述对具体问题的意见和建议</w:t>
      </w:r>
      <w:r>
        <w:rPr>
          <w:rFonts w:hint="eastAsia" w:ascii="宋体" w:hAnsi="宋体" w:cs="宋体"/>
          <w:color w:val="auto"/>
          <w:sz w:val="24"/>
          <w:highlight w:val="none"/>
          <w:lang w:eastAsia="zh-CN"/>
        </w:rPr>
        <w:t>；</w:t>
      </w:r>
    </w:p>
    <w:p w14:paraId="4F49C0D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.甲方有权对服务质量进行评估，若服务评估结果不合格，甲方有权扣除不超过10%的合同金额或终止合同。</w:t>
      </w:r>
    </w:p>
    <w:p w14:paraId="020CA3BC">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（二）乙方的权利和义务：</w:t>
      </w:r>
    </w:p>
    <w:p w14:paraId="491941D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对本合同规定的委托服务范围内的项目享有管理权及服务义务；</w:t>
      </w:r>
    </w:p>
    <w:p w14:paraId="48BFC2B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及时向甲方通告本项目服务范围内有关服务的重大事项；</w:t>
      </w:r>
    </w:p>
    <w:p w14:paraId="6C86A19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接受项目行业管理部门及政府有关部门的指导，接受甲方的监督；</w:t>
      </w:r>
    </w:p>
    <w:p w14:paraId="4B17897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国家法律、法规所规定由乙方承担的其它责任</w:t>
      </w:r>
      <w:r>
        <w:rPr>
          <w:rFonts w:hint="eastAsia" w:ascii="宋体" w:hAnsi="宋体" w:cs="宋体"/>
          <w:color w:val="auto"/>
          <w:sz w:val="24"/>
          <w:highlight w:val="none"/>
          <w:lang w:eastAsia="zh-CN"/>
        </w:rPr>
        <w:t>；</w:t>
      </w:r>
    </w:p>
    <w:p w14:paraId="0E2F7B7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.乙方必须具有履行本合同书所需的技能，必须按照相关的职业准则完成其全部职责</w:t>
      </w:r>
      <w:r>
        <w:rPr>
          <w:rFonts w:hint="eastAsia" w:ascii="宋体" w:hAnsi="宋体" w:cs="宋体"/>
          <w:color w:val="auto"/>
          <w:sz w:val="24"/>
          <w:highlight w:val="none"/>
          <w:lang w:eastAsia="zh-CN"/>
        </w:rPr>
        <w:t>；</w:t>
      </w:r>
    </w:p>
    <w:p w14:paraId="4A4E48E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.乙方应根据本合同的约定提交相关文件、资料</w:t>
      </w:r>
      <w:r>
        <w:rPr>
          <w:rFonts w:hint="eastAsia" w:ascii="宋体" w:hAnsi="宋体" w:cs="宋体"/>
          <w:color w:val="auto"/>
          <w:sz w:val="24"/>
          <w:highlight w:val="none"/>
          <w:lang w:eastAsia="zh-CN"/>
        </w:rPr>
        <w:t>；</w:t>
      </w:r>
    </w:p>
    <w:p w14:paraId="244B267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.对甲方提供的资料严格保密</w:t>
      </w:r>
      <w:r>
        <w:rPr>
          <w:rFonts w:hint="eastAsia" w:ascii="宋体" w:hAnsi="宋体" w:cs="宋体"/>
          <w:color w:val="auto"/>
          <w:sz w:val="24"/>
          <w:highlight w:val="none"/>
          <w:lang w:eastAsia="zh-CN"/>
        </w:rPr>
        <w:t>；</w:t>
      </w:r>
    </w:p>
    <w:p w14:paraId="3A1163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rPr>
        <w:t>.解答甲方提出的与项目有关的询问，接受甲方监督和检查</w:t>
      </w:r>
      <w:r>
        <w:rPr>
          <w:rFonts w:hint="eastAsia" w:ascii="宋体" w:hAnsi="宋体" w:cs="宋体"/>
          <w:color w:val="auto"/>
          <w:sz w:val="24"/>
          <w:highlight w:val="none"/>
          <w:lang w:eastAsia="zh-CN"/>
        </w:rPr>
        <w:t>；</w:t>
      </w:r>
    </w:p>
    <w:p w14:paraId="6A44F1D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.乙方应根据本合同的约定提供服务并提交工作成果，确保所提交成果的</w:t>
      </w:r>
      <w:r>
        <w:rPr>
          <w:rFonts w:hint="eastAsia" w:ascii="宋体" w:hAnsi="宋体" w:cs="宋体"/>
          <w:color w:val="auto"/>
          <w:sz w:val="24"/>
          <w:highlight w:val="none"/>
          <w:lang w:val="en-US" w:eastAsia="zh-CN"/>
        </w:rPr>
        <w:t>资料</w:t>
      </w:r>
      <w:r>
        <w:rPr>
          <w:rFonts w:hint="eastAsia"/>
          <w:sz w:val="24"/>
          <w:highlight w:val="none"/>
        </w:rPr>
        <w:t>必须符合相关国家标准</w:t>
      </w:r>
      <w:r>
        <w:rPr>
          <w:rFonts w:hint="eastAsia" w:ascii="宋体" w:hAnsi="宋体" w:cs="宋体"/>
          <w:color w:val="auto"/>
          <w:sz w:val="24"/>
          <w:highlight w:val="none"/>
          <w:lang w:eastAsia="zh-CN"/>
        </w:rPr>
        <w:t>；</w:t>
      </w:r>
    </w:p>
    <w:p w14:paraId="3A9A505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.乙方人员服务期中发生任何安全问题均与甲方无关。</w:t>
      </w:r>
    </w:p>
    <w:p w14:paraId="397D0857">
      <w:pPr>
        <w:pStyle w:val="3"/>
        <w:keepNext w:val="0"/>
        <w:keepLines w:val="0"/>
        <w:pageBreakBefore w:val="0"/>
        <w:kinsoku/>
        <w:wordWrap/>
        <w:topLinePunct w:val="0"/>
        <w:bidi w:val="0"/>
        <w:snapToGrid/>
        <w:spacing w:line="360" w:lineRule="auto"/>
        <w:textAlignment w:val="auto"/>
        <w:rPr>
          <w:rFonts w:ascii="宋体" w:hAnsi="宋体" w:cs="宋体"/>
          <w:b/>
          <w:color w:val="auto"/>
          <w:sz w:val="24"/>
          <w:highlight w:val="none"/>
        </w:rPr>
      </w:pPr>
      <w:r>
        <w:rPr>
          <w:rFonts w:hint="eastAsia" w:hAnsi="宋体" w:cs="宋体"/>
          <w:b/>
          <w:color w:val="auto"/>
          <w:sz w:val="24"/>
          <w:szCs w:val="24"/>
          <w:highlight w:val="none"/>
          <w:lang w:val="en-US" w:eastAsia="zh-CN"/>
        </w:rPr>
        <w:t>七</w:t>
      </w:r>
      <w:r>
        <w:rPr>
          <w:rFonts w:hint="eastAsia" w:ascii="宋体" w:hAnsi="宋体" w:eastAsia="宋体" w:cs="宋体"/>
          <w:b/>
          <w:color w:val="auto"/>
          <w:sz w:val="24"/>
          <w:szCs w:val="24"/>
          <w:highlight w:val="none"/>
          <w:lang w:val="zh-CN"/>
        </w:rPr>
        <w:t>、</w:t>
      </w:r>
      <w:r>
        <w:rPr>
          <w:rFonts w:hint="eastAsia" w:ascii="宋体" w:hAnsi="宋体" w:cs="宋体"/>
          <w:b/>
          <w:color w:val="auto"/>
          <w:sz w:val="24"/>
          <w:highlight w:val="none"/>
        </w:rPr>
        <w:t>知识产权</w:t>
      </w:r>
    </w:p>
    <w:p w14:paraId="4F0B1E89">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color w:val="auto"/>
          <w:sz w:val="24"/>
          <w:highlight w:val="none"/>
          <w:lang w:val="en-US" w:eastAsia="zh-CN"/>
        </w:rPr>
        <w:t>1.</w:t>
      </w:r>
      <w:r>
        <w:rPr>
          <w:rFonts w:hint="eastAsia" w:ascii="宋体" w:hAnsi="宋体" w:cs="宋体"/>
          <w:sz w:val="24"/>
          <w:highlight w:val="none"/>
        </w:rPr>
        <w:t>未经甲乙双方商定，乙方不得向任何第三方提供相关技术资料。本项目在开发、使用和维护过程中接触到的甲方的所有资料，未经甲方授权代表书面许可，不得留存，私自查阅及向任何第三方泄露。</w:t>
      </w:r>
    </w:p>
    <w:p w14:paraId="7DA0F573">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甲方对乙方本合同项目正常运行和维护所需的各个部分的软硬件拥有全部使用权。未事先获得甲方书面许可，任何人不得擅自使用。</w:t>
      </w:r>
    </w:p>
    <w:p w14:paraId="10AD6F15">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乙方保证最终提供给甲方的本合同项目整体不得包含任何第三方的知识产权或引起任何第三方基于该产品知识产权的指控。</w:t>
      </w:r>
    </w:p>
    <w:p w14:paraId="02EEE601">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如第三方指控乙方或甲方侵犯了该方相关知识产权，乙方将自费就上述指控为甲方辩护，并支付诉讼或经甲方同意的和解中甲方发生的一切费用以及损害赔偿金、损失和律师费。对甲方因该纠纷产生的相应损失，乙方应当予以赔偿。</w:t>
      </w:r>
    </w:p>
    <w:p w14:paraId="3FE99149">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本合同条款的规定不因本合同的到期而失效。</w:t>
      </w:r>
    </w:p>
    <w:p w14:paraId="70197F49">
      <w:pPr>
        <w:pStyle w:val="7"/>
        <w:spacing w:line="360" w:lineRule="auto"/>
        <w:ind w:left="0"/>
        <w:rPr>
          <w:rFonts w:asciiTheme="minorEastAsia" w:hAnsiTheme="minorEastAsia" w:eastAsiaTheme="minorEastAsia"/>
          <w:b/>
          <w:bCs/>
          <w:color w:val="000000"/>
          <w:highlight w:val="none"/>
          <w:lang w:eastAsia="zh-CN"/>
        </w:rPr>
      </w:pPr>
      <w:r>
        <w:rPr>
          <w:rFonts w:hint="eastAsia" w:asciiTheme="minorEastAsia" w:hAnsiTheme="minorEastAsia" w:eastAsiaTheme="minorEastAsia"/>
          <w:b/>
          <w:bCs/>
          <w:color w:val="000000"/>
          <w:highlight w:val="none"/>
          <w:lang w:val="en-US" w:eastAsia="zh-CN"/>
        </w:rPr>
        <w:t>八</w:t>
      </w:r>
      <w:r>
        <w:rPr>
          <w:rFonts w:hint="eastAsia" w:asciiTheme="minorEastAsia" w:hAnsiTheme="minorEastAsia" w:eastAsiaTheme="minorEastAsia"/>
          <w:b/>
          <w:bCs/>
          <w:color w:val="000000"/>
          <w:highlight w:val="none"/>
          <w:lang w:eastAsia="zh-CN"/>
        </w:rPr>
        <w:t>、其它事项</w:t>
      </w:r>
    </w:p>
    <w:p w14:paraId="0757469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乙方不得转让、分包给其它单位或个人。</w:t>
      </w:r>
    </w:p>
    <w:p w14:paraId="1D457E4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乙方的响应文件和承诺等内容将列入合同。</w:t>
      </w:r>
    </w:p>
    <w:p w14:paraId="1C1A7F32">
      <w:pPr>
        <w:snapToGrid w:val="0"/>
        <w:spacing w:line="360" w:lineRule="auto"/>
        <w:rPr>
          <w:rFonts w:hint="eastAsia" w:ascii="宋体" w:hAnsi="宋体" w:cs="宋体"/>
          <w:b/>
          <w:bCs/>
          <w:sz w:val="24"/>
          <w:highlight w:val="none"/>
        </w:rPr>
      </w:pPr>
      <w:r>
        <w:rPr>
          <w:rFonts w:hint="eastAsia" w:ascii="宋体" w:hAnsi="宋体" w:cs="宋体"/>
          <w:b/>
          <w:bCs/>
          <w:sz w:val="24"/>
          <w:highlight w:val="none"/>
          <w:lang w:val="en-US" w:eastAsia="zh-CN"/>
        </w:rPr>
        <w:t>九</w:t>
      </w:r>
      <w:r>
        <w:rPr>
          <w:rFonts w:hint="eastAsia" w:ascii="宋体" w:hAnsi="宋体" w:cs="宋体"/>
          <w:b/>
          <w:bCs/>
          <w:sz w:val="24"/>
          <w:highlight w:val="none"/>
        </w:rPr>
        <w:t>、合同的解除</w:t>
      </w:r>
    </w:p>
    <w:p w14:paraId="0643B44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1.如出现以下情形之一的，甲方有权单方解除合同，并要求乙方承担违约责任：</w:t>
      </w:r>
    </w:p>
    <w:p w14:paraId="4D3229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（1）乙方造成甲方人员或第三人人身伤害或其他安全事故的；</w:t>
      </w:r>
    </w:p>
    <w:p w14:paraId="7D9CC49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（2）乙方违反约定，或不能完成甲方指定的工作任务，经甲方指出后五个工作日内仍未改正的。</w:t>
      </w:r>
    </w:p>
    <w:p w14:paraId="4DFB60F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（3）本合同约定属于乙方的义务，但乙方未按合同履行的其他情形。</w:t>
      </w:r>
    </w:p>
    <w:p w14:paraId="65A6242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bCs/>
          <w:sz w:val="24"/>
          <w:highlight w:val="none"/>
        </w:rPr>
      </w:pPr>
      <w:r>
        <w:rPr>
          <w:rFonts w:hint="eastAsia" w:ascii="宋体" w:hAnsi="宋体" w:cs="宋体"/>
          <w:b w:val="0"/>
          <w:bCs w:val="0"/>
          <w:sz w:val="24"/>
          <w:highlight w:val="none"/>
          <w:lang w:val="en-US" w:eastAsia="zh-CN"/>
        </w:rPr>
        <w:t>2.</w:t>
      </w:r>
      <w:r>
        <w:rPr>
          <w:rFonts w:hint="eastAsia" w:ascii="宋体" w:hAnsi="宋体" w:cs="宋体"/>
          <w:b w:val="0"/>
          <w:bCs w:val="0"/>
          <w:sz w:val="24"/>
          <w:highlight w:val="none"/>
        </w:rPr>
        <w:t>合同继续履行将损害国家利益和社会公共利益的，双方当事人应当中止或者终止合同。有过错的一方应当承担赔偿责任，双方当事人都有过错的，各自承担相应的责任。</w:t>
      </w:r>
    </w:p>
    <w:p w14:paraId="2696B973">
      <w:pPr>
        <w:snapToGrid w:val="0"/>
        <w:spacing w:line="360" w:lineRule="auto"/>
        <w:rPr>
          <w:rFonts w:ascii="宋体" w:hAnsi="宋体" w:cs="宋体"/>
          <w:sz w:val="24"/>
          <w:highlight w:val="none"/>
        </w:rPr>
      </w:pPr>
      <w:r>
        <w:rPr>
          <w:rFonts w:hint="eastAsia" w:ascii="宋体" w:hAnsi="宋体" w:cs="宋体"/>
          <w:b/>
          <w:bCs/>
          <w:sz w:val="24"/>
          <w:highlight w:val="none"/>
        </w:rPr>
        <w:t>十、违约责任</w:t>
      </w:r>
    </w:p>
    <w:p w14:paraId="5CC21BEA">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1.乙方未按合同约定期限完成服务的，则自违约之日起每日应按照合同总金额的</w:t>
      </w:r>
      <w:r>
        <w:rPr>
          <w:rFonts w:hint="eastAsia" w:ascii="宋体" w:hAnsi="宋体" w:eastAsia="宋体" w:cs="宋体"/>
          <w:sz w:val="24"/>
          <w:highlight w:val="none"/>
          <w:u w:val="single"/>
          <w:lang w:val="en-US" w:eastAsia="zh-CN"/>
        </w:rPr>
        <w:t>5％</w:t>
      </w:r>
      <w:r>
        <w:rPr>
          <w:rFonts w:hint="eastAsia" w:ascii="宋体" w:hAnsi="宋体" w:eastAsia="宋体" w:cs="宋体"/>
          <w:sz w:val="24"/>
          <w:highlight w:val="none"/>
          <w:lang w:val="en-US" w:eastAsia="zh-CN"/>
        </w:rPr>
        <w:t>向甲方支付违约金。</w:t>
      </w:r>
    </w:p>
    <w:p w14:paraId="25DF2F3B">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2.若乙方未按售后服务承诺及时提供售后服务或提供服务质量不符合承诺要求等违约的，每次违约，乙方应按照合同总金额的</w:t>
      </w:r>
      <w:r>
        <w:rPr>
          <w:rFonts w:hint="eastAsia" w:ascii="宋体" w:hAnsi="宋体" w:eastAsia="宋体" w:cs="宋体"/>
          <w:sz w:val="24"/>
          <w:highlight w:val="none"/>
          <w:u w:val="single"/>
          <w:lang w:val="en-US" w:eastAsia="zh-CN"/>
        </w:rPr>
        <w:t>1％</w:t>
      </w:r>
      <w:r>
        <w:rPr>
          <w:rFonts w:hint="eastAsia" w:ascii="宋体" w:hAnsi="宋体" w:eastAsia="宋体" w:cs="宋体"/>
          <w:sz w:val="24"/>
          <w:highlight w:val="none"/>
          <w:lang w:val="en-US" w:eastAsia="zh-CN"/>
        </w:rPr>
        <w:t>向甲方支付违约金。同时，甲方有权自行聘请第三方提供相应服务，所发生的费用由乙方承担或由甲方直接从质保金中扣除（如约定质保金时），不足部分，甲方有权向乙方追偿。</w:t>
      </w:r>
    </w:p>
    <w:p w14:paraId="5FEF2952">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3.在乙方履行合同义务的整个过程中，造成甲方、乙方或第三方人身或财产损失的，由乙方承担全部责任。</w:t>
      </w:r>
    </w:p>
    <w:p w14:paraId="406342BA">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双方同意，在不可抗力的影响下，受阻方可暂时停止执行本合同的受阻部分。当不可抗力事件持续的时间超过30日时，双方可就解除本合同及其未尽事宜进行协商处理。任何一方无须对不履行或延迟交货所引起的损失或损害负赔偿责任，但受影响一方应立即通知另一方，并提供有权部门的书面证明。因受影响一方未及时通知导致损失扩大的，损失扩大部分的违约责任由受影响的一方承担。</w:t>
      </w:r>
    </w:p>
    <w:p w14:paraId="7F8A8EF1">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5.如发生违约事件，守约方要求违约方支付违约金时，以书面方式通知违约方，内容包括违约事件、违约金、支付时间和方式等；违约方在收到上述通知后，</w:t>
      </w:r>
      <w:r>
        <w:rPr>
          <w:rFonts w:hint="eastAsia" w:ascii="宋体" w:hAnsi="宋体" w:cs="宋体"/>
          <w:sz w:val="24"/>
          <w:highlight w:val="none"/>
        </w:rPr>
        <w:t>应于</w:t>
      </w:r>
      <w:r>
        <w:rPr>
          <w:rFonts w:hint="eastAsia" w:ascii="宋体" w:hAnsi="宋体" w:cs="宋体"/>
          <w:sz w:val="24"/>
          <w:highlight w:val="none"/>
          <w:u w:val="single"/>
        </w:rPr>
        <w:t>30</w:t>
      </w:r>
      <w:r>
        <w:rPr>
          <w:rFonts w:hint="eastAsia" w:ascii="宋体" w:hAnsi="宋体" w:cs="宋体"/>
          <w:sz w:val="24"/>
          <w:highlight w:val="none"/>
        </w:rPr>
        <w:t>个工作日</w:t>
      </w:r>
      <w:r>
        <w:rPr>
          <w:rFonts w:hint="eastAsia" w:ascii="宋体" w:hAnsi="宋体" w:eastAsia="宋体" w:cs="宋体"/>
          <w:sz w:val="24"/>
          <w:highlight w:val="none"/>
          <w:lang w:val="en-US" w:eastAsia="zh-CN"/>
        </w:rPr>
        <w:t>内答复对方，并支付违约金。</w:t>
      </w:r>
    </w:p>
    <w:p w14:paraId="54D8158F">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6.如有未尽事宜，按《中华人民共和国民法典》中的相关条款执行。</w:t>
      </w:r>
    </w:p>
    <w:p w14:paraId="2868F4E8">
      <w:pPr>
        <w:pStyle w:val="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十</w:t>
      </w:r>
      <w:r>
        <w:rPr>
          <w:rFonts w:hint="eastAsia" w:ascii="宋体" w:hAnsi="宋体" w:cs="宋体"/>
          <w:b/>
          <w:bCs/>
          <w:sz w:val="24"/>
          <w:highlight w:val="none"/>
          <w:lang w:val="en-US" w:eastAsia="zh-CN"/>
        </w:rPr>
        <w:t>一</w:t>
      </w:r>
      <w:r>
        <w:rPr>
          <w:rFonts w:hint="eastAsia" w:ascii="宋体" w:hAnsi="宋体" w:eastAsia="宋体" w:cs="宋体"/>
          <w:b/>
          <w:bCs/>
          <w:sz w:val="24"/>
          <w:highlight w:val="none"/>
        </w:rPr>
        <w:t>、不可抗力</w:t>
      </w:r>
    </w:p>
    <w:p w14:paraId="55405D20">
      <w:pPr>
        <w:pStyle w:val="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sz w:val="24"/>
          <w:highlight w:val="none"/>
        </w:rPr>
      </w:pPr>
      <w:r>
        <w:rPr>
          <w:rFonts w:hint="eastAsia" w:ascii="宋体" w:hAnsi="宋体" w:eastAsia="宋体" w:cs="宋体"/>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0FA459E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2.遭受不可抗力一方应在不可抗力事故发生后尽快以书面形式通知另一方；并在事故发生后</w:t>
      </w:r>
      <w:r>
        <w:rPr>
          <w:rFonts w:hint="eastAsia" w:ascii="宋体" w:hAnsi="宋体" w:eastAsia="宋体" w:cs="宋体"/>
          <w:sz w:val="24"/>
          <w:highlight w:val="none"/>
          <w:u w:val="single"/>
        </w:rPr>
        <w:t>十（10）</w:t>
      </w:r>
      <w:r>
        <w:rPr>
          <w:rFonts w:hint="eastAsia" w:ascii="宋体" w:hAnsi="宋体" w:eastAsia="宋体" w:cs="宋体"/>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sz w:val="24"/>
          <w:highlight w:val="none"/>
          <w:u w:val="single"/>
        </w:rPr>
        <w:t>二十（20）</w:t>
      </w:r>
      <w:r>
        <w:rPr>
          <w:rFonts w:hint="eastAsia" w:ascii="宋体" w:hAnsi="宋体" w:eastAsia="宋体" w:cs="宋体"/>
          <w:sz w:val="24"/>
          <w:highlight w:val="none"/>
        </w:rPr>
        <w:t>个日历日以上，双方应通过友好协商在合理的时间内达成进一步履行合同或终止合同的协议。</w:t>
      </w:r>
    </w:p>
    <w:p w14:paraId="6DA21577">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十</w:t>
      </w:r>
      <w:r>
        <w:rPr>
          <w:rFonts w:hint="eastAsia" w:ascii="宋体" w:hAnsi="宋体" w:cs="宋体"/>
          <w:b/>
          <w:bCs/>
          <w:sz w:val="24"/>
          <w:highlight w:val="none"/>
          <w:lang w:val="en-US" w:eastAsia="zh-CN"/>
        </w:rPr>
        <w:t>二</w:t>
      </w:r>
      <w:r>
        <w:rPr>
          <w:rFonts w:hint="eastAsia" w:ascii="宋体" w:hAnsi="宋体" w:eastAsia="宋体" w:cs="宋体"/>
          <w:b/>
          <w:bCs/>
          <w:sz w:val="24"/>
          <w:highlight w:val="none"/>
        </w:rPr>
        <w:t>、税费</w:t>
      </w:r>
    </w:p>
    <w:p w14:paraId="47003A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1.中国政府根据现行税法对乙方征收的与本合同有关的一切税费均由乙方负担。</w:t>
      </w:r>
    </w:p>
    <w:p w14:paraId="61273E4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
          <w:bCs/>
          <w:sz w:val="24"/>
          <w:highlight w:val="none"/>
        </w:rPr>
      </w:pPr>
      <w:r>
        <w:rPr>
          <w:rFonts w:hint="eastAsia" w:ascii="宋体" w:hAnsi="宋体" w:eastAsia="宋体" w:cs="宋体"/>
          <w:sz w:val="24"/>
          <w:highlight w:val="none"/>
        </w:rPr>
        <w:t>2.中国政府依据现行税法对甲方征收的与本合同有关的一切税费均由甲方负担。</w:t>
      </w:r>
    </w:p>
    <w:p w14:paraId="438DD509">
      <w:pPr>
        <w:adjustRightInd w:val="0"/>
        <w:snapToGrid w:val="0"/>
        <w:spacing w:line="360" w:lineRule="auto"/>
        <w:rPr>
          <w:rFonts w:ascii="宋体" w:hAnsi="宋体" w:cs="宋体"/>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三</w:t>
      </w:r>
      <w:r>
        <w:rPr>
          <w:rFonts w:hint="eastAsia" w:ascii="宋体" w:hAnsi="宋体" w:cs="宋体"/>
          <w:b/>
          <w:bCs/>
          <w:sz w:val="24"/>
          <w:highlight w:val="none"/>
        </w:rPr>
        <w:t>、</w:t>
      </w:r>
      <w:r>
        <w:rPr>
          <w:rFonts w:hint="eastAsia" w:ascii="宋体" w:hAnsi="宋体" w:cs="宋体"/>
          <w:b/>
          <w:sz w:val="24"/>
          <w:highlight w:val="none"/>
        </w:rPr>
        <w:t>保密</w:t>
      </w:r>
    </w:p>
    <w:p w14:paraId="097878BB">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1.乙方有权依据合同约定和项目需要，向甲方了解有关情况，调阅有关资料等，甲方应予积极配合；</w:t>
      </w:r>
    </w:p>
    <w:p w14:paraId="71B77C7E">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2.乙方有义务妥善保管和保护由甲方提供的信息和资料等；</w:t>
      </w:r>
    </w:p>
    <w:p w14:paraId="4BDEA12F">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sz w:val="24"/>
          <w:highlight w:val="none"/>
        </w:rPr>
      </w:pPr>
      <w:r>
        <w:rPr>
          <w:rFonts w:hint="eastAsia" w:ascii="宋体" w:hAnsi="宋体" w:eastAsia="宋体" w:cs="宋体"/>
          <w:sz w:val="24"/>
          <w:highlight w:val="none"/>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AEF4E6E">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lang w:eastAsia="zh-CN"/>
        </w:rPr>
        <w:t>甲乙双方如出现泄密行为，泄密方应承担相关的法律责任，包括但是不限于对由此给对方造成的经济损失进行赔偿。</w:t>
      </w:r>
    </w:p>
    <w:p w14:paraId="2C5D8E93">
      <w:pPr>
        <w:pStyle w:val="6"/>
        <w:spacing w:line="360" w:lineRule="auto"/>
        <w:ind w:firstLine="0" w:firstLineChars="0"/>
        <w:jc w:val="left"/>
        <w:rPr>
          <w:rFonts w:hint="eastAsia" w:ascii="宋体" w:hAnsi="宋体" w:cs="宋体"/>
          <w:b/>
          <w:bCs/>
          <w:sz w:val="24"/>
          <w:highlight w:val="none"/>
        </w:rPr>
      </w:pPr>
      <w:r>
        <w:rPr>
          <w:rFonts w:hint="eastAsia" w:ascii="宋体" w:hAnsi="宋体" w:cs="宋体"/>
          <w:b/>
          <w:sz w:val="24"/>
          <w:highlight w:val="none"/>
        </w:rPr>
        <w:t>十</w:t>
      </w:r>
      <w:r>
        <w:rPr>
          <w:rFonts w:hint="eastAsia" w:ascii="宋体" w:hAnsi="宋体" w:cs="宋体"/>
          <w:b/>
          <w:sz w:val="24"/>
          <w:highlight w:val="none"/>
          <w:lang w:val="en-US" w:eastAsia="zh-CN"/>
        </w:rPr>
        <w:t>四</w:t>
      </w:r>
      <w:r>
        <w:rPr>
          <w:rFonts w:hint="eastAsia" w:ascii="宋体" w:hAnsi="宋体" w:cs="宋体"/>
          <w:b/>
          <w:sz w:val="24"/>
          <w:highlight w:val="none"/>
        </w:rPr>
        <w:t>、破产终止合同</w:t>
      </w:r>
    </w:p>
    <w:p w14:paraId="14888F69">
      <w:pPr>
        <w:pStyle w:val="3"/>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cs="宋体"/>
          <w:b/>
          <w:bCs/>
          <w:sz w:val="24"/>
          <w:highlight w:val="none"/>
        </w:rPr>
      </w:pPr>
      <w:r>
        <w:rPr>
          <w:rFonts w:hint="eastAsia" w:ascii="宋体" w:hAnsi="宋体" w:eastAsia="宋体" w:cs="宋体"/>
          <w:color w:val="auto"/>
          <w:sz w:val="24"/>
          <w:highlight w:val="none"/>
        </w:rPr>
        <w:t>当乙方破产或无提供服务能力时，甲方可在任何时候以书面形式通知乙方单方解除合同；并且该终止合同不损害或不影响甲方已采取或将采取补救措施的权利。</w:t>
      </w:r>
    </w:p>
    <w:p w14:paraId="40F4AA97">
      <w:pPr>
        <w:pStyle w:val="6"/>
        <w:spacing w:line="360" w:lineRule="auto"/>
        <w:ind w:firstLine="0" w:firstLineChars="0"/>
        <w:jc w:val="left"/>
        <w:rPr>
          <w:rFonts w:hint="eastAsia" w:ascii="宋体" w:hAnsi="宋体" w:eastAsia="宋体" w:cs="宋体"/>
          <w:b/>
          <w:sz w:val="24"/>
          <w:highlight w:val="none"/>
        </w:rPr>
      </w:pPr>
      <w:r>
        <w:rPr>
          <w:rFonts w:hint="eastAsia" w:ascii="宋体" w:hAnsi="宋体" w:eastAsia="宋体" w:cs="宋体"/>
          <w:b/>
          <w:sz w:val="24"/>
          <w:highlight w:val="none"/>
        </w:rPr>
        <w:t>十</w:t>
      </w:r>
      <w:r>
        <w:rPr>
          <w:rFonts w:hint="eastAsia" w:ascii="宋体" w:hAnsi="宋体" w:cs="宋体"/>
          <w:b/>
          <w:sz w:val="24"/>
          <w:highlight w:val="none"/>
          <w:lang w:val="en-US" w:eastAsia="zh-CN"/>
        </w:rPr>
        <w:t>五</w:t>
      </w:r>
      <w:r>
        <w:rPr>
          <w:rFonts w:hint="eastAsia" w:ascii="宋体" w:hAnsi="宋体" w:eastAsia="宋体" w:cs="宋体"/>
          <w:b/>
          <w:sz w:val="24"/>
          <w:highlight w:val="none"/>
        </w:rPr>
        <w:t>、合同争议解决的方式</w:t>
      </w:r>
    </w:p>
    <w:p w14:paraId="410AE6F2">
      <w:pPr>
        <w:pStyle w:val="3"/>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14F4F4C3">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六</w:t>
      </w:r>
      <w:r>
        <w:rPr>
          <w:rFonts w:hint="eastAsia" w:ascii="宋体" w:hAnsi="宋体" w:cs="宋体"/>
          <w:b/>
          <w:bCs/>
          <w:sz w:val="24"/>
          <w:highlight w:val="none"/>
        </w:rPr>
        <w:t>、合同生效</w:t>
      </w:r>
    </w:p>
    <w:p w14:paraId="0020321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政府采购合同履行中，甲方需追加与合同标的相同的货物、工程或者服务的，在不改变合同其他条款的前提下，可以与乙方协商签订补充合同，但所有补充合同的采购金额不得超过原合同采购金额的10%。</w:t>
      </w:r>
    </w:p>
    <w:p w14:paraId="42D5853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本合同须经甲、乙双方的法定代表人（委托代理人）在合同书上签字并加盖本单位公章后正式生效。</w:t>
      </w:r>
    </w:p>
    <w:p w14:paraId="18CF54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合同生效后，甲、乙双方须严格执行本合同条款的规定，全面履行合同，违者按《中华人民共和国民法典》的有关规定承担相应责任。</w:t>
      </w:r>
    </w:p>
    <w:p w14:paraId="22C70F4D">
      <w:pPr>
        <w:spacing w:line="360" w:lineRule="auto"/>
        <w:ind w:firstLine="480" w:firstLineChars="200"/>
        <w:rPr>
          <w:rFonts w:hint="eastAsia" w:ascii="宋体" w:hAnsi="宋体" w:cs="宋体"/>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sz w:val="24"/>
          <w:szCs w:val="24"/>
          <w:highlight w:val="none"/>
        </w:rPr>
        <w:t>本合同一式</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份，甲乙双方各执</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份。</w:t>
      </w:r>
    </w:p>
    <w:p w14:paraId="7D64A5A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合同未尽事宜，由甲、乙双方协商签订补充协议，作为合同的补充，与原合同具有同等法律效力，补充协议与原协议不一致的，以补充协议为准。</w:t>
      </w:r>
    </w:p>
    <w:p w14:paraId="457ABFA1">
      <w:pPr>
        <w:rPr>
          <w:rFonts w:hint="eastAsia"/>
          <w:highlight w:val="none"/>
        </w:rPr>
      </w:pPr>
    </w:p>
    <w:tbl>
      <w:tblPr>
        <w:tblStyle w:val="4"/>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59BEB8AC">
        <w:tblPrEx>
          <w:tblCellMar>
            <w:top w:w="0" w:type="dxa"/>
            <w:left w:w="108" w:type="dxa"/>
            <w:bottom w:w="0" w:type="dxa"/>
            <w:right w:w="108" w:type="dxa"/>
          </w:tblCellMar>
        </w:tblPrEx>
        <w:trPr>
          <w:trHeight w:val="484" w:hRule="exact"/>
        </w:trPr>
        <w:tc>
          <w:tcPr>
            <w:tcW w:w="4201" w:type="dxa"/>
            <w:vAlign w:val="center"/>
          </w:tcPr>
          <w:p w14:paraId="7C73E5F7">
            <w:pPr>
              <w:spacing w:line="360" w:lineRule="auto"/>
              <w:ind w:firstLine="480" w:firstLineChars="200"/>
              <w:rPr>
                <w:rFonts w:ascii="宋体"/>
                <w:sz w:val="24"/>
                <w:highlight w:val="none"/>
              </w:rPr>
            </w:pPr>
            <w:r>
              <w:rPr>
                <w:rFonts w:hint="eastAsia" w:ascii="宋体" w:hAnsi="宋体" w:cs="宋体"/>
                <w:sz w:val="24"/>
                <w:highlight w:val="none"/>
              </w:rPr>
              <w:t>甲</w:t>
            </w:r>
            <w:r>
              <w:rPr>
                <w:rFonts w:ascii="宋体" w:hAnsi="宋体" w:cs="宋体"/>
                <w:sz w:val="24"/>
                <w:highlight w:val="none"/>
              </w:rPr>
              <w:t xml:space="preserve">  </w:t>
            </w:r>
            <w:r>
              <w:rPr>
                <w:rFonts w:hint="eastAsia" w:ascii="宋体" w:hAnsi="宋体" w:cs="宋体"/>
                <w:sz w:val="24"/>
                <w:highlight w:val="none"/>
              </w:rPr>
              <w:t>方</w:t>
            </w:r>
          </w:p>
        </w:tc>
        <w:tc>
          <w:tcPr>
            <w:tcW w:w="4202" w:type="dxa"/>
            <w:vAlign w:val="center"/>
          </w:tcPr>
          <w:p w14:paraId="2320ECE2">
            <w:pPr>
              <w:spacing w:line="360" w:lineRule="auto"/>
              <w:ind w:firstLine="480" w:firstLineChars="200"/>
              <w:rPr>
                <w:rFonts w:ascii="宋体"/>
                <w:sz w:val="24"/>
                <w:highlight w:val="none"/>
              </w:rPr>
            </w:pPr>
            <w:r>
              <w:rPr>
                <w:rFonts w:hint="eastAsia" w:ascii="宋体" w:hAnsi="宋体" w:cs="宋体"/>
                <w:sz w:val="24"/>
                <w:highlight w:val="none"/>
              </w:rPr>
              <w:t>乙</w:t>
            </w:r>
            <w:r>
              <w:rPr>
                <w:rFonts w:ascii="宋体" w:hAnsi="宋体" w:cs="宋体"/>
                <w:sz w:val="24"/>
                <w:highlight w:val="none"/>
              </w:rPr>
              <w:t xml:space="preserve">  </w:t>
            </w:r>
            <w:r>
              <w:rPr>
                <w:rFonts w:hint="eastAsia" w:ascii="宋体" w:hAnsi="宋体" w:cs="宋体"/>
                <w:sz w:val="24"/>
                <w:highlight w:val="none"/>
              </w:rPr>
              <w:t>方</w:t>
            </w:r>
          </w:p>
        </w:tc>
      </w:tr>
      <w:tr w14:paraId="4C9FBEDD">
        <w:tblPrEx>
          <w:tblCellMar>
            <w:top w:w="0" w:type="dxa"/>
            <w:left w:w="108" w:type="dxa"/>
            <w:bottom w:w="0" w:type="dxa"/>
            <w:right w:w="108" w:type="dxa"/>
          </w:tblCellMar>
        </w:tblPrEx>
        <w:trPr>
          <w:trHeight w:val="467" w:hRule="exact"/>
        </w:trPr>
        <w:tc>
          <w:tcPr>
            <w:tcW w:w="4201" w:type="dxa"/>
            <w:vAlign w:val="center"/>
          </w:tcPr>
          <w:p w14:paraId="3CE2A309">
            <w:pPr>
              <w:spacing w:line="360" w:lineRule="auto"/>
              <w:ind w:firstLine="480" w:firstLineChars="200"/>
              <w:rPr>
                <w:rFonts w:ascii="宋体"/>
                <w:sz w:val="24"/>
                <w:highlight w:val="none"/>
              </w:rPr>
            </w:pPr>
            <w:r>
              <w:rPr>
                <w:rFonts w:hint="eastAsia" w:ascii="宋体" w:hAnsi="宋体" w:cs="宋体"/>
                <w:sz w:val="24"/>
                <w:highlight w:val="none"/>
              </w:rPr>
              <w:t>（盖章）</w:t>
            </w:r>
          </w:p>
        </w:tc>
        <w:tc>
          <w:tcPr>
            <w:tcW w:w="4202" w:type="dxa"/>
            <w:vAlign w:val="center"/>
          </w:tcPr>
          <w:p w14:paraId="49A8AD06">
            <w:pPr>
              <w:spacing w:line="360" w:lineRule="auto"/>
              <w:ind w:firstLine="480" w:firstLineChars="200"/>
              <w:rPr>
                <w:rFonts w:ascii="宋体"/>
                <w:sz w:val="24"/>
                <w:highlight w:val="none"/>
              </w:rPr>
            </w:pPr>
            <w:r>
              <w:rPr>
                <w:rFonts w:hint="eastAsia" w:ascii="宋体" w:hAnsi="宋体" w:cs="宋体"/>
                <w:sz w:val="24"/>
                <w:highlight w:val="none"/>
              </w:rPr>
              <w:t>（盖章）</w:t>
            </w:r>
          </w:p>
        </w:tc>
      </w:tr>
      <w:tr w14:paraId="438BCDDD">
        <w:tblPrEx>
          <w:tblCellMar>
            <w:top w:w="0" w:type="dxa"/>
            <w:left w:w="108" w:type="dxa"/>
            <w:bottom w:w="0" w:type="dxa"/>
            <w:right w:w="108" w:type="dxa"/>
          </w:tblCellMar>
        </w:tblPrEx>
        <w:trPr>
          <w:trHeight w:val="501" w:hRule="exact"/>
        </w:trPr>
        <w:tc>
          <w:tcPr>
            <w:tcW w:w="4201" w:type="dxa"/>
            <w:vAlign w:val="center"/>
          </w:tcPr>
          <w:p w14:paraId="14575E99">
            <w:pPr>
              <w:spacing w:line="360" w:lineRule="auto"/>
              <w:ind w:firstLine="480" w:firstLineChars="200"/>
              <w:rPr>
                <w:rFonts w:ascii="宋体" w:hAnsi="宋体" w:cs="宋体"/>
                <w:sz w:val="24"/>
                <w:highlight w:val="none"/>
              </w:rPr>
            </w:pPr>
            <w:r>
              <w:rPr>
                <w:rFonts w:hint="eastAsia" w:ascii="宋体" w:hAnsi="宋体" w:cs="宋体"/>
                <w:sz w:val="24"/>
                <w:highlight w:val="none"/>
              </w:rPr>
              <w:t>地址：</w:t>
            </w:r>
            <w:r>
              <w:rPr>
                <w:rFonts w:ascii="宋体" w:hAnsi="宋体" w:cs="宋体"/>
                <w:sz w:val="24"/>
                <w:highlight w:val="none"/>
              </w:rPr>
              <w:t xml:space="preserve"> </w:t>
            </w:r>
          </w:p>
        </w:tc>
        <w:tc>
          <w:tcPr>
            <w:tcW w:w="4202" w:type="dxa"/>
            <w:vAlign w:val="center"/>
          </w:tcPr>
          <w:p w14:paraId="1A31F5CF">
            <w:pPr>
              <w:spacing w:line="360" w:lineRule="auto"/>
              <w:ind w:firstLine="480" w:firstLineChars="200"/>
              <w:rPr>
                <w:rFonts w:ascii="宋体"/>
                <w:sz w:val="24"/>
                <w:highlight w:val="none"/>
              </w:rPr>
            </w:pPr>
            <w:r>
              <w:rPr>
                <w:rFonts w:hint="eastAsia" w:ascii="宋体" w:hAnsi="宋体" w:cs="宋体"/>
                <w:sz w:val="24"/>
                <w:highlight w:val="none"/>
              </w:rPr>
              <w:t>地址：</w:t>
            </w:r>
          </w:p>
        </w:tc>
      </w:tr>
      <w:tr w14:paraId="7F5A9957">
        <w:tblPrEx>
          <w:tblCellMar>
            <w:top w:w="0" w:type="dxa"/>
            <w:left w:w="108" w:type="dxa"/>
            <w:bottom w:w="0" w:type="dxa"/>
            <w:right w:w="108" w:type="dxa"/>
          </w:tblCellMar>
        </w:tblPrEx>
        <w:trPr>
          <w:trHeight w:val="450" w:hRule="exact"/>
        </w:trPr>
        <w:tc>
          <w:tcPr>
            <w:tcW w:w="4201" w:type="dxa"/>
            <w:vAlign w:val="center"/>
          </w:tcPr>
          <w:p w14:paraId="43C90977">
            <w:pPr>
              <w:spacing w:line="360" w:lineRule="auto"/>
              <w:ind w:firstLine="480" w:firstLineChars="200"/>
              <w:rPr>
                <w:rFonts w:ascii="宋体"/>
                <w:sz w:val="24"/>
                <w:highlight w:val="none"/>
              </w:rPr>
            </w:pPr>
            <w:r>
              <w:rPr>
                <w:rFonts w:hint="eastAsia" w:ascii="宋体" w:hAnsi="宋体" w:cs="宋体"/>
                <w:sz w:val="24"/>
                <w:highlight w:val="none"/>
              </w:rPr>
              <w:t>邮编：</w:t>
            </w:r>
          </w:p>
        </w:tc>
        <w:tc>
          <w:tcPr>
            <w:tcW w:w="4202" w:type="dxa"/>
            <w:vAlign w:val="center"/>
          </w:tcPr>
          <w:p w14:paraId="1F2A9BE4">
            <w:pPr>
              <w:spacing w:line="360" w:lineRule="auto"/>
              <w:ind w:firstLine="480" w:firstLineChars="200"/>
              <w:rPr>
                <w:rFonts w:ascii="宋体"/>
                <w:sz w:val="24"/>
                <w:highlight w:val="none"/>
              </w:rPr>
            </w:pPr>
            <w:r>
              <w:rPr>
                <w:rFonts w:hint="eastAsia" w:ascii="宋体" w:hAnsi="宋体" w:cs="宋体"/>
                <w:sz w:val="24"/>
                <w:highlight w:val="none"/>
              </w:rPr>
              <w:t>邮编：</w:t>
            </w:r>
          </w:p>
        </w:tc>
      </w:tr>
      <w:tr w14:paraId="2B27D31D">
        <w:tblPrEx>
          <w:tblCellMar>
            <w:top w:w="0" w:type="dxa"/>
            <w:left w:w="108" w:type="dxa"/>
            <w:bottom w:w="0" w:type="dxa"/>
            <w:right w:w="108" w:type="dxa"/>
          </w:tblCellMar>
        </w:tblPrEx>
        <w:trPr>
          <w:trHeight w:val="533" w:hRule="exact"/>
        </w:trPr>
        <w:tc>
          <w:tcPr>
            <w:tcW w:w="4201" w:type="dxa"/>
            <w:vAlign w:val="center"/>
          </w:tcPr>
          <w:p w14:paraId="3B1E1609">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r>
              <w:rPr>
                <w:rFonts w:ascii="宋体" w:hAnsi="宋体" w:cs="宋体"/>
                <w:sz w:val="24"/>
                <w:highlight w:val="none"/>
              </w:rPr>
              <w:t xml:space="preserve"> </w:t>
            </w:r>
          </w:p>
        </w:tc>
        <w:tc>
          <w:tcPr>
            <w:tcW w:w="4202" w:type="dxa"/>
            <w:vAlign w:val="center"/>
          </w:tcPr>
          <w:p w14:paraId="72230E7E">
            <w:pPr>
              <w:spacing w:line="360" w:lineRule="auto"/>
              <w:ind w:firstLine="480" w:firstLineChars="200"/>
              <w:rPr>
                <w:rFonts w:ascii="宋体"/>
                <w:sz w:val="24"/>
                <w:highlight w:val="none"/>
              </w:rPr>
            </w:pPr>
            <w:r>
              <w:rPr>
                <w:rFonts w:hint="eastAsia" w:ascii="宋体" w:hAnsi="宋体" w:cs="宋体"/>
                <w:sz w:val="24"/>
                <w:highlight w:val="none"/>
              </w:rPr>
              <w:t>法定代表人：</w:t>
            </w:r>
          </w:p>
        </w:tc>
      </w:tr>
      <w:tr w14:paraId="02B83B01">
        <w:tblPrEx>
          <w:tblCellMar>
            <w:top w:w="0" w:type="dxa"/>
            <w:left w:w="108" w:type="dxa"/>
            <w:bottom w:w="0" w:type="dxa"/>
            <w:right w:w="108" w:type="dxa"/>
          </w:tblCellMar>
        </w:tblPrEx>
        <w:trPr>
          <w:trHeight w:val="533" w:hRule="exact"/>
        </w:trPr>
        <w:tc>
          <w:tcPr>
            <w:tcW w:w="4201" w:type="dxa"/>
            <w:vAlign w:val="center"/>
          </w:tcPr>
          <w:p w14:paraId="6C9CE04B">
            <w:pPr>
              <w:spacing w:line="360" w:lineRule="auto"/>
              <w:ind w:firstLine="480" w:firstLineChars="200"/>
              <w:rPr>
                <w:rFonts w:ascii="宋体"/>
                <w:sz w:val="24"/>
                <w:highlight w:val="none"/>
              </w:rPr>
            </w:pPr>
            <w:r>
              <w:rPr>
                <w:rFonts w:hint="eastAsia" w:ascii="宋体" w:hAnsi="宋体" w:cs="宋体"/>
                <w:sz w:val="24"/>
                <w:highlight w:val="none"/>
              </w:rPr>
              <w:t>委托代理人：</w:t>
            </w:r>
          </w:p>
        </w:tc>
        <w:tc>
          <w:tcPr>
            <w:tcW w:w="4202" w:type="dxa"/>
            <w:vAlign w:val="center"/>
          </w:tcPr>
          <w:p w14:paraId="26B8A459">
            <w:pPr>
              <w:spacing w:line="360" w:lineRule="auto"/>
              <w:ind w:firstLine="480" w:firstLineChars="200"/>
              <w:rPr>
                <w:rFonts w:ascii="宋体"/>
                <w:sz w:val="24"/>
                <w:highlight w:val="none"/>
              </w:rPr>
            </w:pPr>
            <w:r>
              <w:rPr>
                <w:rFonts w:hint="eastAsia" w:ascii="宋体" w:hAnsi="宋体" w:cs="宋体"/>
                <w:sz w:val="24"/>
                <w:highlight w:val="none"/>
              </w:rPr>
              <w:t>委托代理人：</w:t>
            </w:r>
          </w:p>
        </w:tc>
      </w:tr>
      <w:tr w14:paraId="3A30D8EC">
        <w:tblPrEx>
          <w:tblCellMar>
            <w:top w:w="0" w:type="dxa"/>
            <w:left w:w="108" w:type="dxa"/>
            <w:bottom w:w="0" w:type="dxa"/>
            <w:right w:w="108" w:type="dxa"/>
          </w:tblCellMar>
        </w:tblPrEx>
        <w:trPr>
          <w:trHeight w:val="500" w:hRule="exact"/>
        </w:trPr>
        <w:tc>
          <w:tcPr>
            <w:tcW w:w="4201" w:type="dxa"/>
            <w:vAlign w:val="center"/>
          </w:tcPr>
          <w:p w14:paraId="7F20EF5C">
            <w:pPr>
              <w:spacing w:line="360" w:lineRule="auto"/>
              <w:ind w:firstLine="480" w:firstLineChars="200"/>
              <w:rPr>
                <w:rFonts w:ascii="宋体"/>
                <w:sz w:val="24"/>
                <w:highlight w:val="none"/>
              </w:rPr>
            </w:pPr>
            <w:r>
              <w:rPr>
                <w:rFonts w:hint="eastAsia" w:ascii="宋体" w:hAnsi="宋体" w:cs="宋体"/>
                <w:sz w:val="24"/>
                <w:highlight w:val="none"/>
              </w:rPr>
              <w:t>电话：</w:t>
            </w:r>
          </w:p>
        </w:tc>
        <w:tc>
          <w:tcPr>
            <w:tcW w:w="4202" w:type="dxa"/>
            <w:vAlign w:val="center"/>
          </w:tcPr>
          <w:p w14:paraId="46A3B6AF">
            <w:pPr>
              <w:spacing w:line="360" w:lineRule="auto"/>
              <w:ind w:firstLine="480" w:firstLineChars="200"/>
              <w:rPr>
                <w:rFonts w:ascii="宋体"/>
                <w:sz w:val="24"/>
                <w:highlight w:val="none"/>
              </w:rPr>
            </w:pPr>
            <w:r>
              <w:rPr>
                <w:rFonts w:hint="eastAsia" w:ascii="宋体" w:hAnsi="宋体" w:cs="宋体"/>
                <w:sz w:val="24"/>
                <w:highlight w:val="none"/>
              </w:rPr>
              <w:t>电话：</w:t>
            </w:r>
          </w:p>
        </w:tc>
      </w:tr>
      <w:tr w14:paraId="34D3FD65">
        <w:tblPrEx>
          <w:tblCellMar>
            <w:top w:w="0" w:type="dxa"/>
            <w:left w:w="108" w:type="dxa"/>
            <w:bottom w:w="0" w:type="dxa"/>
            <w:right w:w="108" w:type="dxa"/>
          </w:tblCellMar>
        </w:tblPrEx>
        <w:trPr>
          <w:trHeight w:val="467" w:hRule="exact"/>
        </w:trPr>
        <w:tc>
          <w:tcPr>
            <w:tcW w:w="4201" w:type="dxa"/>
            <w:vAlign w:val="center"/>
          </w:tcPr>
          <w:p w14:paraId="042A2692">
            <w:pPr>
              <w:spacing w:line="360" w:lineRule="auto"/>
              <w:ind w:firstLine="480" w:firstLineChars="200"/>
              <w:rPr>
                <w:rFonts w:ascii="宋体"/>
                <w:sz w:val="24"/>
                <w:highlight w:val="none"/>
              </w:rPr>
            </w:pPr>
            <w:r>
              <w:rPr>
                <w:rFonts w:hint="eastAsia" w:ascii="宋体" w:hAnsi="宋体" w:cs="宋体"/>
                <w:sz w:val="24"/>
                <w:highlight w:val="none"/>
              </w:rPr>
              <w:t>传真：</w:t>
            </w:r>
          </w:p>
        </w:tc>
        <w:tc>
          <w:tcPr>
            <w:tcW w:w="4202" w:type="dxa"/>
            <w:vAlign w:val="center"/>
          </w:tcPr>
          <w:p w14:paraId="78BF9ED4">
            <w:pPr>
              <w:spacing w:line="360" w:lineRule="auto"/>
              <w:ind w:firstLine="480" w:firstLineChars="200"/>
              <w:rPr>
                <w:rFonts w:ascii="宋体"/>
                <w:sz w:val="24"/>
                <w:highlight w:val="none"/>
              </w:rPr>
            </w:pPr>
            <w:r>
              <w:rPr>
                <w:rFonts w:hint="eastAsia" w:ascii="宋体" w:hAnsi="宋体" w:cs="宋体"/>
                <w:sz w:val="24"/>
                <w:highlight w:val="none"/>
              </w:rPr>
              <w:t>传真：</w:t>
            </w:r>
          </w:p>
        </w:tc>
      </w:tr>
      <w:tr w14:paraId="75F21F86">
        <w:tblPrEx>
          <w:tblCellMar>
            <w:top w:w="0" w:type="dxa"/>
            <w:left w:w="108" w:type="dxa"/>
            <w:bottom w:w="0" w:type="dxa"/>
            <w:right w:w="108" w:type="dxa"/>
          </w:tblCellMar>
        </w:tblPrEx>
        <w:trPr>
          <w:trHeight w:val="567" w:hRule="exact"/>
        </w:trPr>
        <w:tc>
          <w:tcPr>
            <w:tcW w:w="4201" w:type="dxa"/>
            <w:vAlign w:val="center"/>
          </w:tcPr>
          <w:p w14:paraId="42A10AA4">
            <w:pPr>
              <w:spacing w:line="360" w:lineRule="auto"/>
              <w:ind w:firstLine="480" w:firstLineChars="200"/>
              <w:rPr>
                <w:rFonts w:ascii="宋体"/>
                <w:sz w:val="24"/>
                <w:highlight w:val="none"/>
              </w:rPr>
            </w:pPr>
            <w:r>
              <w:rPr>
                <w:rFonts w:hint="eastAsia" w:ascii="宋体" w:hAnsi="宋体" w:cs="宋体"/>
                <w:sz w:val="24"/>
                <w:highlight w:val="none"/>
              </w:rPr>
              <w:t>开户银行：</w:t>
            </w:r>
          </w:p>
        </w:tc>
        <w:tc>
          <w:tcPr>
            <w:tcW w:w="4202" w:type="dxa"/>
            <w:vAlign w:val="center"/>
          </w:tcPr>
          <w:p w14:paraId="1BD82D7E">
            <w:pPr>
              <w:spacing w:line="360" w:lineRule="auto"/>
              <w:ind w:firstLine="480" w:firstLineChars="200"/>
              <w:rPr>
                <w:rFonts w:ascii="宋体"/>
                <w:sz w:val="24"/>
                <w:highlight w:val="none"/>
              </w:rPr>
            </w:pPr>
            <w:r>
              <w:rPr>
                <w:rFonts w:hint="eastAsia" w:ascii="宋体" w:hAnsi="宋体" w:cs="宋体"/>
                <w:sz w:val="24"/>
                <w:highlight w:val="none"/>
              </w:rPr>
              <w:t>开户银行：</w:t>
            </w:r>
          </w:p>
        </w:tc>
      </w:tr>
      <w:tr w14:paraId="348A5AE8">
        <w:tblPrEx>
          <w:tblCellMar>
            <w:top w:w="0" w:type="dxa"/>
            <w:left w:w="108" w:type="dxa"/>
            <w:bottom w:w="0" w:type="dxa"/>
            <w:right w:w="108" w:type="dxa"/>
          </w:tblCellMar>
        </w:tblPrEx>
        <w:trPr>
          <w:trHeight w:val="567" w:hRule="exact"/>
        </w:trPr>
        <w:tc>
          <w:tcPr>
            <w:tcW w:w="4201" w:type="dxa"/>
            <w:vAlign w:val="center"/>
          </w:tcPr>
          <w:p w14:paraId="208F1389">
            <w:pPr>
              <w:spacing w:line="360" w:lineRule="auto"/>
              <w:ind w:firstLine="480" w:firstLineChars="200"/>
              <w:rPr>
                <w:rFonts w:ascii="宋体"/>
                <w:sz w:val="24"/>
                <w:highlight w:val="none"/>
              </w:rPr>
            </w:pPr>
            <w:r>
              <w:rPr>
                <w:rFonts w:hint="eastAsia" w:ascii="宋体" w:hAnsi="宋体" w:cs="宋体"/>
                <w:sz w:val="24"/>
                <w:highlight w:val="none"/>
              </w:rPr>
              <w:t>日期：</w:t>
            </w:r>
          </w:p>
        </w:tc>
        <w:tc>
          <w:tcPr>
            <w:tcW w:w="4202" w:type="dxa"/>
            <w:vAlign w:val="center"/>
          </w:tcPr>
          <w:p w14:paraId="31C91F18">
            <w:pPr>
              <w:spacing w:line="360" w:lineRule="auto"/>
              <w:ind w:firstLine="480" w:firstLineChars="200"/>
              <w:rPr>
                <w:rFonts w:ascii="宋体"/>
                <w:sz w:val="24"/>
                <w:highlight w:val="none"/>
              </w:rPr>
            </w:pPr>
            <w:r>
              <w:rPr>
                <w:rFonts w:hint="eastAsia" w:ascii="宋体" w:hAnsi="宋体" w:cs="宋体"/>
                <w:sz w:val="24"/>
                <w:highlight w:val="none"/>
              </w:rPr>
              <w:t>日期：</w:t>
            </w:r>
          </w:p>
        </w:tc>
      </w:tr>
    </w:tbl>
    <w:p w14:paraId="572ED3F4">
      <w:pPr>
        <w:spacing w:line="360" w:lineRule="auto"/>
      </w:pPr>
    </w:p>
    <w:sectPr>
      <w:pgSz w:w="11906" w:h="16838"/>
      <w:pgMar w:top="1440" w:right="1689" w:bottom="1440"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026CDA"/>
    <w:rsid w:val="35026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 w:val="21"/>
      <w:szCs w:val="24"/>
    </w:rPr>
  </w:style>
  <w:style w:type="paragraph" w:styleId="3">
    <w:name w:val="Plain Text"/>
    <w:basedOn w:val="1"/>
    <w:next w:val="1"/>
    <w:qFormat/>
    <w:uiPriority w:val="0"/>
    <w:rPr>
      <w:rFonts w:ascii="宋体" w:hAnsi="Courier New" w:cs="Courier New"/>
      <w:szCs w:val="21"/>
    </w:rPr>
  </w:style>
  <w:style w:type="paragraph" w:customStyle="1" w:styleId="6">
    <w:name w:val="列出段落1"/>
    <w:basedOn w:val="1"/>
    <w:qFormat/>
    <w:uiPriority w:val="0"/>
    <w:pPr>
      <w:ind w:firstLine="420" w:firstLineChars="200"/>
    </w:pPr>
    <w:rPr>
      <w:rFonts w:ascii="Calibri" w:hAnsi="Calibri"/>
    </w:rPr>
  </w:style>
  <w:style w:type="paragraph" w:styleId="7">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2026-04-24T08:23:00Z</dcterms:created>
  <dc:creator>哆啦</dc:creator>
  <cp:lastModifiedBy>哆啦</cp:lastModifiedBy>
  <dcterms:modified xsi:type="dcterms:W3CDTF">2026-04-24T08:24:12Z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55100F8653114128B34717D3CBEEA78A_11</vt:lpwstr>
  </property>
  <property fmtid="{D5CDD505-2E9C-101B-9397-08002B2CF9AE}" pid="4" name="KSOTemplateDocerSaveRecord">
    <vt:lpwstr>eyJoZGlkIjoiMjA4OWRlZGM1ODAwNDJhMTNmNjUzY2IwODY1ZTNjNjIiLCJ1c2VySWQiOiI1OTYzODM3NjIifQ==</vt:lpwstr>
  </property>
</Properties>
</file>