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版本号：ZX2025-10-03.(二次)20260508002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红外光谱仪项目(二次)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ZX2025-10-03.(二次)</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红外光谱仪项目(二次)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ZX2025-10-03.(二次)</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红外光谱仪项目(二次)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本项目为红外光谱仪项目，1套，具体详见采购文件第三章。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1、法定代表人授权委托书：法定代表人参加谈判的，须提供法定代表人身份证；法定代表人授权本单位他人参加谈判的，须提供法定代表人授权委托书。</w:t>
      </w:r>
    </w:p>
    <w:p>
      <w:pPr>
        <w:pStyle w:val="null3"/>
      </w:pPr>
      <w:r>
        <w:rPr>
          <w:rFonts w:ascii="仿宋_GB2312" w:hAnsi="仿宋_GB2312" w:cs="仿宋_GB2312" w:eastAsia="仿宋_GB2312"/>
        </w:rPr>
        <w:t>2、本项目不接受联合体谈判，不允许分包：本项目不接受联合体谈判，不允许分包。供应商应提供《非联合体不分包投标声明》。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胡怡洁 曹婷 马演 崔文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采购包1：1,438,600.00元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采购包1保证金金额：28,510.03元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若成交金额在50万元以内，参照国家计委关于印发《招标代理服务收费管理暂行办法的通知》(计价格[2002]1980号)的收费标准收取；若成交金额在50万元及以上，参照国家计委关于印发《采购代理服务收费管理暂行办法的通知》(计价格[2002]1980号)规定的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祁鑫</w:t>
      </w:r>
    </w:p>
    <w:p>
      <w:pPr>
        <w:pStyle w:val="null3"/>
      </w:pPr>
      <w:r>
        <w:rPr>
          <w:rFonts w:ascii="仿宋_GB2312" w:hAnsi="仿宋_GB2312" w:cs="仿宋_GB2312" w:eastAsia="仿宋_GB2312"/>
        </w:rPr>
        <w:t>联系电话：029-88110800转8032（邮箱 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本项目为红外光谱仪项目，1套。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1,438,600.00</w:t>
      </w:r>
    </w:p>
    <w:p>
      <w:pPr>
        <w:pStyle w:val="null3"/>
      </w:pPr>
      <w:r>
        <w:rPr>
          <w:rFonts w:ascii="仿宋_GB2312" w:hAnsi="仿宋_GB2312" w:cs="仿宋_GB2312" w:eastAsia="仿宋_GB2312"/>
        </w:rPr>
        <w:t>采购包最高限价（元）: 1,438,600.00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红外光谱仪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1,438,600.00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标的名称：红外光谱仪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产品名称</w:t>
                  </w:r>
                </w:p>
              </w:tc>
              <w:tc>
                <w:tcPr>
                  <w:tcW w:type="dxa" w:w="851"/>
                </w:tcPr>
                <w:p>
                  <w:pPr>
                    <w:pStyle w:val="null3"/>
                  </w:pPr>
                  <w:r>
                    <w:rPr>
                      <w:rFonts w:ascii="仿宋_GB2312" w:hAnsi="仿宋_GB2312" w:cs="仿宋_GB2312" w:eastAsia="仿宋_GB2312"/>
                    </w:rPr>
                    <w:t>数量</w:t>
                  </w:r>
                </w:p>
              </w:tc>
              <w:tc>
                <w:tcPr>
                  <w:tcW w:type="dxa" w:w="851"/>
                </w:tcPr>
                <w:p>
                  <w:pPr>
                    <w:pStyle w:val="null3"/>
                  </w:pPr>
                  <w:r>
                    <w:rPr>
                      <w:rFonts w:ascii="仿宋_GB2312" w:hAnsi="仿宋_GB2312" w:cs="仿宋_GB2312" w:eastAsia="仿宋_GB2312"/>
                    </w:rPr>
                    <w:t>备注</w:t>
                  </w:r>
                </w:p>
              </w:tc>
            </w:tr>
            <w:tr>
              <w:tc>
                <w:tcPr>
                  <w:tcW w:type="dxa" w:w="851"/>
                </w:tcPr>
                <w:p>
                  <w:pPr>
                    <w:pStyle w:val="null3"/>
                  </w:pPr>
                  <w:r>
                    <w:rPr>
                      <w:rFonts w:ascii="仿宋_GB2312" w:hAnsi="仿宋_GB2312" w:cs="仿宋_GB2312" w:eastAsia="仿宋_GB2312"/>
                    </w:rPr>
                    <w:t>红外光谱仪</w:t>
                  </w:r>
                </w:p>
              </w:tc>
              <w:tc>
                <w:tcPr>
                  <w:tcW w:type="dxa" w:w="851"/>
                </w:tcPr>
                <w:p>
                  <w:pPr>
                    <w:pStyle w:val="null3"/>
                  </w:pPr>
                  <w:r>
                    <w:rPr>
                      <w:rFonts w:ascii="仿宋_GB2312" w:hAnsi="仿宋_GB2312" w:cs="仿宋_GB2312" w:eastAsia="仿宋_GB2312"/>
                    </w:rPr>
                    <w:t>1套</w:t>
                  </w:r>
                </w:p>
              </w:tc>
              <w:tc>
                <w:tcPr>
                  <w:tcW w:type="dxa" w:w="851"/>
                </w:tcPr>
                <w:p>
                  <w:pPr>
                    <w:pStyle w:val="null3"/>
                  </w:pPr>
                  <w:r>
                    <w:rPr>
                      <w:rFonts w:ascii="仿宋_GB2312" w:hAnsi="仿宋_GB2312" w:cs="仿宋_GB2312" w:eastAsia="仿宋_GB2312"/>
                    </w:rPr>
                    <w:t>核心产品</w:t>
                  </w:r>
                </w:p>
              </w:tc>
            </w:tr>
          </w:tbl>
          <w:p>
            <w:pPr>
              <w:pStyle w:val="null3"/>
            </w:pPr>
            <w:r>
              <w:rPr>
                <w:rFonts w:ascii="仿宋_GB2312" w:hAnsi="仿宋_GB2312" w:cs="仿宋_GB2312" w:eastAsia="仿宋_GB2312"/>
              </w:rPr>
              <w:t>二、参数要求</w:t>
            </w:r>
          </w:p>
          <w:p>
            <w:pPr>
              <w:pStyle w:val="null3"/>
            </w:pPr>
            <w:r>
              <w:rPr>
                <w:rFonts w:ascii="仿宋_GB2312" w:hAnsi="仿宋_GB2312" w:cs="仿宋_GB2312" w:eastAsia="仿宋_GB2312"/>
              </w:rPr>
              <w:t>（一）主要技术参数</w:t>
            </w:r>
          </w:p>
          <w:p>
            <w:pPr>
              <w:pStyle w:val="null3"/>
            </w:pPr>
            <w:r>
              <w:rPr>
                <w:rFonts w:ascii="仿宋_GB2312" w:hAnsi="仿宋_GB2312" w:cs="仿宋_GB2312" w:eastAsia="仿宋_GB2312"/>
              </w:rPr>
              <w:t>（注：所有技术参数均须满足要求；★技术参数必须提供佐证材料（包括但不限于产品彩页或厂家盖章出具的技术白皮书或官网截图等），不满足或未提供佐证材料视为负偏离，按无效文件处理；非“★”技术参数以技术响应与偏离表的响应内容为准，不满足按无效文件处理。）</w:t>
            </w:r>
          </w:p>
          <w:p>
            <w:pPr>
              <w:pStyle w:val="null3"/>
            </w:pPr>
            <w:r>
              <w:rPr>
                <w:rFonts w:ascii="仿宋_GB2312" w:hAnsi="仿宋_GB2312" w:cs="仿宋_GB2312" w:eastAsia="仿宋_GB2312"/>
              </w:rPr>
              <w:t>★1.波长范围：1500 ~ 3400nm；</w:t>
            </w:r>
          </w:p>
          <w:p>
            <w:pPr>
              <w:pStyle w:val="null3"/>
            </w:pPr>
            <w:r>
              <w:rPr>
                <w:rFonts w:ascii="仿宋_GB2312" w:hAnsi="仿宋_GB2312" w:cs="仿宋_GB2312" w:eastAsia="仿宋_GB2312"/>
              </w:rPr>
              <w:t>★2. 波长分辨率设置：0.1－2nm；</w:t>
            </w:r>
          </w:p>
          <w:p>
            <w:pPr>
              <w:pStyle w:val="null3"/>
            </w:pPr>
            <w:r>
              <w:rPr>
                <w:rFonts w:ascii="仿宋_GB2312" w:hAnsi="仿宋_GB2312" w:cs="仿宋_GB2312" w:eastAsia="仿宋_GB2312"/>
              </w:rPr>
              <w:t>★3. 可测光功率范围：-65 ~ +13dBm；</w:t>
            </w:r>
          </w:p>
          <w:p>
            <w:pPr>
              <w:pStyle w:val="null3"/>
            </w:pPr>
            <w:r>
              <w:rPr>
                <w:rFonts w:ascii="仿宋_GB2312" w:hAnsi="仿宋_GB2312" w:cs="仿宋_GB2312" w:eastAsia="仿宋_GB2312"/>
              </w:rPr>
              <w:t>4. 精度：±0.5nm；</w:t>
            </w:r>
          </w:p>
          <w:p>
            <w:pPr>
              <w:pStyle w:val="null3"/>
            </w:pPr>
            <w:r>
              <w:rPr>
                <w:rFonts w:ascii="仿宋_GB2312" w:hAnsi="仿宋_GB2312" w:cs="仿宋_GB2312" w:eastAsia="仿宋_GB2312"/>
              </w:rPr>
              <w:t>5.动态范围：≥55dB；</w:t>
            </w:r>
          </w:p>
          <w:p>
            <w:pPr>
              <w:pStyle w:val="null3"/>
            </w:pPr>
            <w:r>
              <w:rPr>
                <w:rFonts w:ascii="仿宋_GB2312" w:hAnsi="仿宋_GB2312" w:cs="仿宋_GB2312" w:eastAsia="仿宋_GB2312"/>
              </w:rPr>
              <w:t>6.在1500 ~ 2100nm波长范围具备光电转换功能；</w:t>
            </w:r>
          </w:p>
          <w:p>
            <w:pPr>
              <w:pStyle w:val="null3"/>
            </w:pPr>
            <w:r>
              <w:rPr>
                <w:rFonts w:ascii="仿宋_GB2312" w:hAnsi="仿宋_GB2312" w:cs="仿宋_GB2312" w:eastAsia="仿宋_GB2312"/>
              </w:rPr>
              <w:t>7.最大采样点数：200001；</w:t>
            </w:r>
          </w:p>
          <w:p>
            <w:pPr>
              <w:pStyle w:val="null3"/>
            </w:pPr>
            <w:r>
              <w:rPr>
                <w:rFonts w:ascii="仿宋_GB2312" w:hAnsi="仿宋_GB2312" w:cs="仿宋_GB2312" w:eastAsia="仿宋_GB2312"/>
              </w:rPr>
              <w:t>8.功率精度：±1.0dB；</w:t>
            </w:r>
          </w:p>
          <w:p>
            <w:pPr>
              <w:pStyle w:val="null3"/>
            </w:pPr>
            <w:r>
              <w:rPr>
                <w:rFonts w:ascii="仿宋_GB2312" w:hAnsi="仿宋_GB2312" w:cs="仿宋_GB2312" w:eastAsia="仿宋_GB2312"/>
              </w:rPr>
              <w:t>9.波长重复性：±0.015nm；</w:t>
            </w:r>
          </w:p>
          <w:p>
            <w:pPr>
              <w:pStyle w:val="null3"/>
            </w:pPr>
            <w:r>
              <w:rPr>
                <w:rFonts w:ascii="仿宋_GB2312" w:hAnsi="仿宋_GB2312" w:cs="仿宋_GB2312" w:eastAsia="仿宋_GB2312"/>
              </w:rPr>
              <w:t>10.最小采样分辨率：0.003nm；</w:t>
            </w:r>
          </w:p>
          <w:p>
            <w:pPr>
              <w:pStyle w:val="null3"/>
            </w:pPr>
            <w:r>
              <w:rPr>
                <w:rFonts w:ascii="仿宋_GB2312" w:hAnsi="仿宋_GB2312" w:cs="仿宋_GB2312" w:eastAsia="仿宋_GB2312"/>
              </w:rPr>
              <w:t>11.最大安全输入功率：+20dBm；</w:t>
            </w:r>
          </w:p>
          <w:p>
            <w:pPr>
              <w:pStyle w:val="null3"/>
            </w:pPr>
            <w:r>
              <w:rPr>
                <w:rFonts w:ascii="仿宋_GB2312" w:hAnsi="仿宋_GB2312" w:cs="仿宋_GB2312" w:eastAsia="仿宋_GB2312"/>
              </w:rPr>
              <w:t>★12.适用光纤：SM、MM；</w:t>
            </w:r>
          </w:p>
          <w:p>
            <w:pPr>
              <w:pStyle w:val="null3"/>
            </w:pPr>
            <w:r>
              <w:rPr>
                <w:rFonts w:ascii="仿宋_GB2312" w:hAnsi="仿宋_GB2312" w:cs="仿宋_GB2312" w:eastAsia="仿宋_GB2312"/>
              </w:rPr>
              <w:t>13.内置校准光源。</w:t>
            </w:r>
          </w:p>
          <w:p>
            <w:pPr>
              <w:pStyle w:val="null3"/>
            </w:pPr>
            <w:r>
              <w:rPr>
                <w:rFonts w:ascii="仿宋_GB2312" w:hAnsi="仿宋_GB2312" w:cs="仿宋_GB2312" w:eastAsia="仿宋_GB2312"/>
              </w:rPr>
              <w:t>（二）配置要求</w:t>
            </w:r>
          </w:p>
          <w:p>
            <w:pPr>
              <w:pStyle w:val="null3"/>
            </w:pPr>
            <w:r>
              <w:rPr>
                <w:rFonts w:ascii="仿宋_GB2312" w:hAnsi="仿宋_GB2312" w:cs="仿宋_GB2312" w:eastAsia="仿宋_GB2312"/>
              </w:rPr>
              <w:t>1.可对1500nm至2100nm波长区间的光信号实现光电转换；</w:t>
            </w:r>
          </w:p>
          <w:p>
            <w:pPr>
              <w:pStyle w:val="null3"/>
            </w:pPr>
            <w:r>
              <w:rPr>
                <w:rFonts w:ascii="仿宋_GB2312" w:hAnsi="仿宋_GB2312" w:cs="仿宋_GB2312" w:eastAsia="仿宋_GB2312"/>
              </w:rPr>
              <w:t>2.可对900-1700nm范围500MHz以下的光信号以差分形式实现光电转换（平衡探测）；</w:t>
            </w:r>
          </w:p>
          <w:p>
            <w:pPr>
              <w:pStyle w:val="null3"/>
            </w:pPr>
            <w:r>
              <w:rPr>
                <w:rFonts w:ascii="仿宋_GB2312" w:hAnsi="仿宋_GB2312" w:cs="仿宋_GB2312" w:eastAsia="仿宋_GB2312"/>
              </w:rPr>
              <w:t>3.配15米高增益掺铥光纤和50米掺铋光纤；</w:t>
            </w:r>
          </w:p>
          <w:p>
            <w:pPr>
              <w:pStyle w:val="null3"/>
            </w:pPr>
            <w:r>
              <w:rPr>
                <w:rFonts w:ascii="仿宋_GB2312" w:hAnsi="仿宋_GB2312" w:cs="仿宋_GB2312" w:eastAsia="仿宋_GB2312"/>
              </w:rPr>
              <w:t>4. 配一个功率2W波长为1565nm和一个功率600mW波长为1240nm泵浦激光器；</w:t>
            </w:r>
          </w:p>
          <w:p>
            <w:pPr>
              <w:pStyle w:val="null3"/>
            </w:pPr>
            <w:r>
              <w:rPr>
                <w:rFonts w:ascii="仿宋_GB2312" w:hAnsi="仿宋_GB2312" w:cs="仿宋_GB2312" w:eastAsia="仿宋_GB2312"/>
              </w:rPr>
              <w:t>5. 配2个2微米隔离器，2个1570/2000nm WDM，2个2微米光耦合器。</w:t>
            </w:r>
          </w:p>
          <w:p>
            <w:pPr>
              <w:pStyle w:val="null3"/>
            </w:pPr>
            <w:r>
              <w:rPr>
                <w:rFonts w:ascii="仿宋_GB2312" w:hAnsi="仿宋_GB2312" w:cs="仿宋_GB2312" w:eastAsia="仿宋_GB2312"/>
              </w:rPr>
              <w:t>(三）培训要求</w:t>
            </w:r>
          </w:p>
          <w:p>
            <w:pPr>
              <w:pStyle w:val="null3"/>
            </w:pPr>
            <w:r>
              <w:rPr>
                <w:rFonts w:ascii="仿宋_GB2312" w:hAnsi="仿宋_GB2312" w:cs="仿宋_GB2312" w:eastAsia="仿宋_GB2312"/>
              </w:rPr>
              <w:t>到货安装调试完成后，由专业工程师现场提供一次系统的培训服务，直至采购人相关使用人员熟练掌握为止。培训内容：仪器操作规程及注意事项，接受培训人员：5人以上。培训时间：不少于一个工作日，考核方式：现场操作考核。</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合同签订后45天内安装调试完成保证可正常使用。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合同签订后，供应商开具合同金额80%银行保函，采购人收到银行保函正本后（银行保函有效期：自开具之日起6个月）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待验收合格后，采购人退还银行保函正本。凭成交供应商开具全额增值税专用发票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按谈判文件、响应文件及合同约定执行，仪器外观完好，工作波段、波长分辨率、功率灵敏度、输入动态范围等指标测试结果均需符合标书中的技术指标要求。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1、3年（质保期内，任何由制造商选材和制造不当引起的质量问题，成交供应商负责维修，不额外收费。质保期自验收签字之日起计算。） 2、成交供应商应在24小时内对用户的服务要求做出响应，一般问题在48小时内解决，重大问题或其它无法立刻解决的问题应在一周内解决或提出明确的解决方案。 3、提供一次免费移机服务。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保证金注意事项：（1）谈判保证金须从供应商户名支付，如从个人户名或非供应商户名支付，将被拒绝，视为自动放弃谈判权利（该个人是供应商的情形除外）；以保函形式交纳谈判保证金的，供应商应在响应截止时间前将保函扫描成清晰的PDF文件，发送至邮箱2559647209@qq.com（邮件命名：项目编号），并将保函原件单独递交至代理机构财务；供应商应在文件中附保函复印件。保函必须由具有开具谈判保函资格的单位开具；若供应商违约，开具保函单位承担连带责任；（2）谈判保证金的提交金额、时间不满足谈判文件要求的，谈判无效；（3）谈判保证金以采购代理机构到账凭证为准，供应商无需更换交纳凭证，由采购代理机构统一提供。（4）未按指定账户提交的，我公司将退回，供应商须在文件递交截止时间前按照指定账户再次提交。 2、根据法律规定成交公告只公布主要标的的名称、品牌、规格型号、数量、单价，本项目主要标的为：核心产品。 3.若项目后期涉及组织专家验收，则验收费用由成交供应商承担。 4.本项目落实《国务院办公厅关于在政府采购中实施本国产品标准及相关政策的通知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法定代表人参加谈判的，须提供法定代表人身份证；法定代表人授权本单位他人参加谈判的，须提供法定代表人授权委托书。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谈判过程中出现下列情形之一的，谈判小组应当启动异常低价投标审查程序：①响应报价低于全部通过符合性审查供应商投标报价平均值50%的，即响应报价&lt;全部通过符合性审查供应商响应报价平均值×50%；②响应报价低于通过符合性审查的次低报价供应商响应报价50%的，即响应报价&lt;通过符合性审查的次低报价供应商响应报价×50%；③响应报价低于采购项目最高限价45%的，即响应报价&lt;采购项目最高限价×45%；④谈判小组基于专业判断，认为供应商报价过低，有可能影响产品质量或者不能诚信履约的其他情形。二、谈判小组启动异常低价投标审查后，属于前述①至④情形的，应当要求相关供应商在评审现场合理的时间（30分钟）内对响应价格作出解释，提供项目具体成本测算等与报价合理性相关的书面说明及必要的证明材料。书面说明应当包括：（1）按照国家财务会计制度的规定要求，逐项就供应商提供的货物、工程和服务的主营业务成本（应根据响应企业类型予以区别）、税金及附加、原材料成本、人工成本、制造费用、销售费用、管理费用、财务费用等成本构成事项详细陈述。 （2）供应商以前完成类似规模项目与类似价格的业绩证明材料（合同、发票）。其中，属于③情形，供应商已随响应文件一并提交相关书面说明及必要的证明材料的，在评审现场可不再重复提交。三、供应商提交的相关说明和证明材料，应当加盖供应商（法定名称）电子印章，在谈判小组要求的时间内通过项目电子化交易系统进行提交，否则提交的相关证明材料无效。供应商不能证明其响应报价合理性的或未在规定时间提交上述（1）（2）材料的或者提供的材料不齐全的或者提供的材料不被专家认可的，谈判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谈判文件规定要求签署、盖章的；(2)不满足本谈判文件中“交货时间、交货地点、采购资金的支付方式及约定、质量保修范围和保修期”的实质性条款要求的；(3)响应有效期不足的或无有效期的；(4)报价超过谈判文件中规定的采购预算或最高限价的； (5)法律、法规和谈判文件规定的其他无效情形。</w:t>
            </w:r>
          </w:p>
        </w:tc>
        <w:tc>
          <w:tcPr>
            <w:tcW w:type="dxa" w:w="1661"/>
          </w:tcPr>
          <w:p>
            <w:pPr>
              <w:pStyle w:val="null3"/>
            </w:pPr>
            <w:r>
              <w:rPr>
                <w:rFonts w:ascii="仿宋_GB2312" w:hAnsi="仿宋_GB2312" w:cs="仿宋_GB2312" w:eastAsia="仿宋_GB2312"/>
              </w:rPr>
              <w:t>响应文件封面 技术方案及实施方案、组织机构、售后服务承诺.docx 商务部分偏离表.docx 响应函 技术响应与偏离表.docx 分项价格表.docx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2、本项目落实支持中小企业发展政策及对本国产品的支持政策，用扣除后的价格参与价格分计算。（对本国产品的支持政策说明详见3.5其他要求）</w:t>
            </w:r>
          </w:p>
        </w:tc>
        <w:tc>
          <w:tcPr>
            <w:tcW w:type="dxa" w:w="1910"/>
          </w:tcPr>
          <w:p>
            <w:pPr>
              <w:pStyle w:val="null3"/>
            </w:pPr>
            <w:r>
              <w:rPr>
                <w:rFonts w:ascii="仿宋_GB2312" w:hAnsi="仿宋_GB2312" w:cs="仿宋_GB2312" w:eastAsia="仿宋_GB2312"/>
              </w:rPr>
              <w:t>1关于符合本国产品标准的声明函.docx 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详见附件：技术方案及实施方案、组织机构、售后服务承诺.docx</w:t>
      </w:r>
    </w:p>
    <w:p>
      <w:pPr>
        <w:pStyle w:val="null3"/>
        <w:ind w:firstLine="960"/>
      </w:pPr>
      <w:r>
        <w:rPr>
          <w:rFonts w:ascii="仿宋_GB2312" w:hAnsi="仿宋_GB2312" w:cs="仿宋_GB2312" w:eastAsia="仿宋_GB2312"/>
        </w:rPr>
        <w:t>详见附件：1关于符合本国产品标准的声明函.docx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详见附件：合同正文.docx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