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版本号：GCZB2026-04-048-W20260427001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陕茶宣传推介与产销对接项目一期(2026“陕茶优品”杭州产销对接活动)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GCZB2026-04-048-W</w:t>
      </w:r>
      <w:r>
        <w:br/>
      </w:r>
      <w:r>
        <w:br/>
      </w:r>
      <w:r>
        <w:br/>
      </w:r>
    </w:p>
    <w:p>
      <w:pPr>
        <w:pStyle w:val="null3"/>
        <w:jc w:val="center"/>
        <w:outlineLvl w:val="2"/>
      </w:pPr>
      <w:r>
        <w:rPr>
          <w:rFonts w:ascii="仿宋_GB2312" w:hAnsi="仿宋_GB2312" w:cs="仿宋_GB2312" w:eastAsia="仿宋_GB2312"/>
          <w:sz w:val="28"/>
          <w:b/>
        </w:rPr>
        <w:t>陕西省农产品质量安全中心</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陕西省农产品质量安全中心</w:t>
      </w:r>
      <w:r>
        <w:rPr>
          <w:rFonts w:ascii="仿宋_GB2312" w:hAnsi="仿宋_GB2312" w:cs="仿宋_GB2312" w:eastAsia="仿宋_GB2312"/>
        </w:rPr>
        <w:t>委托，拟对</w:t>
      </w:r>
      <w:r>
        <w:rPr>
          <w:rFonts w:ascii="仿宋_GB2312" w:hAnsi="仿宋_GB2312" w:cs="仿宋_GB2312" w:eastAsia="仿宋_GB2312"/>
        </w:rPr>
        <w:t>陕茶宣传推介与产销对接项目一期(2026“陕茶优品”杭州产销对接活动)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GCZB2026-04-048-W</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陕茶宣传推介与产销对接项目一期(2026“陕茶优品”杭州产销对接活动)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陕西省农产品质量安全中心陕茶宣传推介与产销对接项目一期(2026“陕茶优品”杭州产销对接活动)，1项，具体内容详见服务要求。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采购包1（陕西省农产品质量安全中心陕茶宣传推介与产销对接项目一期(2026“陕茶优品”杭州产销对接活动)）：属于专门面向中小企业采购。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2、财务状况报告：提供经审计的完整的2024年度或2025年度的财务报告或提交响应文件截止时间前六个月内其基本账户开户银行出具的资信证明；其他组织和自然人提供银行出具的资信证明或财务报表；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3、税收缴纳证明：提供响应文件递交截止日前一年内已缴存的至少一个月的纳税证明或完税证明，依法免税的供应商提供相关文件证明；</w:t>
      </w:r>
    </w:p>
    <w:p>
      <w:pPr>
        <w:pStyle w:val="null3"/>
      </w:pPr>
      <w:r>
        <w:rPr>
          <w:rFonts w:ascii="仿宋_GB2312" w:hAnsi="仿宋_GB2312" w:cs="仿宋_GB2312" w:eastAsia="仿宋_GB2312"/>
        </w:rPr>
        <w:t>4、社会保障资金缴纳证明：提供响应文件递交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7、法定代表人授权书：供应商应授权合法的人员参加磋商，其中法定代表人直接参加的，须出具法定代表人证明书；被授权代表参加的，须出具法定代表人授权书；</w:t>
      </w:r>
    </w:p>
    <w:p>
      <w:pPr>
        <w:pStyle w:val="null3"/>
      </w:pPr>
      <w:r>
        <w:rPr>
          <w:rFonts w:ascii="仿宋_GB2312" w:hAnsi="仿宋_GB2312" w:cs="仿宋_GB2312" w:eastAsia="仿宋_GB2312"/>
        </w:rPr>
        <w:t>8、落实政府采购政策需满足的资格要求：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pPr>
        <w:pStyle w:val="null3"/>
      </w:pPr>
      <w:r>
        <w:rPr>
          <w:rFonts w:ascii="仿宋_GB2312" w:hAnsi="仿宋_GB2312" w:cs="仿宋_GB2312" w:eastAsia="仿宋_GB2312"/>
        </w:rPr>
        <w:t>9、直接控股、管理关系：单位负责人为同一人或存在直接控股、管理关系的不同单位，不得同时参加本项目投标活动。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陕西省农产品质量安全中心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西安市未央区凤城七路118号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029-86361374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王璐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029-88899363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代理服务费收费标准：成交服务费参照国家发展和改革委员会《招标代理服务收费暂行办法》（计价格[2002]1980号）及发改办价格[2003]857号文件的规定标准收取。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陕西省农产品质量安全中心</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陕西省农产品质量安全中心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陕西省农产品质量安全中心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根据采购文件、响应文件以及合同约定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联系电话：029-88899363（549470923@qq.com）</w:t>
      </w:r>
    </w:p>
    <w:p>
      <w:pPr>
        <w:pStyle w:val="null3"/>
      </w:pPr>
      <w:r>
        <w:rPr>
          <w:rFonts w:ascii="仿宋_GB2312" w:hAnsi="仿宋_GB2312" w:cs="仿宋_GB2312" w:eastAsia="仿宋_GB2312"/>
        </w:rPr>
        <w:t>地址：西安市莲湖区高新一路5号正信大厦A座24楼</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陕西省农产品质量安全中心陕茶宣传推介与产销对接项目一期(2026“陕茶优品”杭州产销对接活动)，1项，具体内容详见服务要求。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500000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标的名称：500000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w:t>
            </w:r>
            <w:r>
              <w:rPr>
                <w:rFonts w:ascii="仿宋_GB2312" w:hAnsi="仿宋_GB2312" w:cs="仿宋_GB2312" w:eastAsia="仿宋_GB2312"/>
                <w:b/>
              </w:rPr>
              <w:t>项目概况</w:t>
            </w:r>
          </w:p>
          <w:p>
            <w:pPr>
              <w:pStyle w:val="null3"/>
            </w:pPr>
            <w:r>
              <w:rPr>
                <w:rFonts w:ascii="仿宋_GB2312" w:hAnsi="仿宋_GB2312" w:cs="仿宋_GB2312" w:eastAsia="仿宋_GB2312"/>
              </w:rPr>
              <w:t>时间：</w:t>
            </w:r>
            <w:r>
              <w:rPr>
                <w:rFonts w:ascii="仿宋_GB2312" w:hAnsi="仿宋_GB2312" w:cs="仿宋_GB2312" w:eastAsia="仿宋_GB2312"/>
              </w:rPr>
              <w:t>5月</w:t>
            </w:r>
            <w:r>
              <w:rPr>
                <w:rFonts w:ascii="仿宋_GB2312" w:hAnsi="仿宋_GB2312" w:cs="仿宋_GB2312" w:eastAsia="仿宋_GB2312"/>
              </w:rPr>
              <w:t>19</w:t>
            </w:r>
            <w:r>
              <w:rPr>
                <w:rFonts w:ascii="仿宋_GB2312" w:hAnsi="仿宋_GB2312" w:cs="仿宋_GB2312" w:eastAsia="仿宋_GB2312"/>
              </w:rPr>
              <w:t>日</w:t>
            </w:r>
            <w:r>
              <w:rPr>
                <w:rFonts w:ascii="仿宋_GB2312" w:hAnsi="仿宋_GB2312" w:cs="仿宋_GB2312" w:eastAsia="仿宋_GB2312"/>
              </w:rPr>
              <w:t>-25日</w:t>
            </w:r>
          </w:p>
          <w:p>
            <w:pPr>
              <w:pStyle w:val="null3"/>
            </w:pPr>
            <w:r>
              <w:rPr>
                <w:rFonts w:ascii="仿宋_GB2312" w:hAnsi="仿宋_GB2312" w:cs="仿宋_GB2312" w:eastAsia="仿宋_GB2312"/>
              </w:rPr>
              <w:t>地点：以杭州为</w:t>
            </w:r>
            <w:r>
              <w:rPr>
                <w:rFonts w:ascii="仿宋_GB2312" w:hAnsi="仿宋_GB2312" w:cs="仿宋_GB2312" w:eastAsia="仿宋_GB2312"/>
              </w:rPr>
              <w:t>核心，</w:t>
            </w:r>
            <w:r>
              <w:rPr>
                <w:rFonts w:ascii="仿宋_GB2312" w:hAnsi="仿宋_GB2312" w:cs="仿宋_GB2312" w:eastAsia="仿宋_GB2312"/>
              </w:rPr>
              <w:t>辐射陕茶长三角主销区</w:t>
            </w:r>
          </w:p>
          <w:p>
            <w:pPr>
              <w:pStyle w:val="null3"/>
            </w:pPr>
            <w:r>
              <w:rPr>
                <w:rFonts w:ascii="仿宋_GB2312" w:hAnsi="仿宋_GB2312" w:cs="仿宋_GB2312" w:eastAsia="仿宋_GB2312"/>
              </w:rPr>
              <w:t>名称：</w:t>
            </w:r>
            <w:r>
              <w:rPr>
                <w:rFonts w:ascii="仿宋_GB2312" w:hAnsi="仿宋_GB2312" w:cs="仿宋_GB2312" w:eastAsia="仿宋_GB2312"/>
              </w:rPr>
              <w:t>2026“陕茶优品”杭州产销对接活动</w:t>
            </w:r>
          </w:p>
          <w:p>
            <w:pPr>
              <w:pStyle w:val="null3"/>
            </w:pPr>
            <w:r>
              <w:rPr>
                <w:rFonts w:ascii="仿宋_GB2312" w:hAnsi="仿宋_GB2312" w:cs="仿宋_GB2312" w:eastAsia="仿宋_GB2312"/>
              </w:rPr>
              <w:t>主题：陕茶优品</w:t>
            </w:r>
            <w:r>
              <w:rPr>
                <w:rFonts w:ascii="仿宋_GB2312" w:hAnsi="仿宋_GB2312" w:cs="仿宋_GB2312" w:eastAsia="仿宋_GB2312"/>
              </w:rPr>
              <w:t xml:space="preserve"> </w:t>
            </w:r>
            <w:r>
              <w:rPr>
                <w:rFonts w:ascii="仿宋_GB2312" w:hAnsi="仿宋_GB2312" w:cs="仿宋_GB2312" w:eastAsia="仿宋_GB2312"/>
              </w:rPr>
              <w:t>香遇杭州</w:t>
            </w:r>
          </w:p>
          <w:p>
            <w:pPr>
              <w:pStyle w:val="null3"/>
            </w:pPr>
            <w:r>
              <w:rPr>
                <w:rFonts w:ascii="仿宋_GB2312" w:hAnsi="仿宋_GB2312" w:cs="仿宋_GB2312" w:eastAsia="仿宋_GB2312"/>
                <w:b/>
              </w:rPr>
              <w:t>二、招标内容</w:t>
            </w:r>
          </w:p>
          <w:p>
            <w:pPr>
              <w:pStyle w:val="null3"/>
            </w:pPr>
            <w:r>
              <w:rPr>
                <w:rFonts w:ascii="仿宋_GB2312" w:hAnsi="仿宋_GB2312" w:cs="仿宋_GB2312" w:eastAsia="仿宋_GB2312"/>
              </w:rPr>
              <w:t>（一）陕茶优品展示展销，包括展位费缴纳、设计搭建及拆除、现场维护等。展示展销区位于</w:t>
            </w:r>
            <w:r>
              <w:rPr>
                <w:rFonts w:ascii="仿宋_GB2312" w:hAnsi="仿宋_GB2312" w:cs="仿宋_GB2312" w:eastAsia="仿宋_GB2312"/>
              </w:rPr>
              <w:t>杭州国际博览中心</w:t>
            </w:r>
            <w:r>
              <w:rPr>
                <w:rFonts w:ascii="仿宋_GB2312" w:hAnsi="仿宋_GB2312" w:cs="仿宋_GB2312" w:eastAsia="仿宋_GB2312"/>
              </w:rPr>
              <w:t>3C展馆（展馆图及具体位置详见附件），总面积178.5m2（长21m、宽8.5m），四面开口。</w:t>
            </w:r>
          </w:p>
          <w:p>
            <w:pPr>
              <w:pStyle w:val="null3"/>
              <w:ind w:firstLine="400"/>
            </w:pPr>
            <w:r>
              <w:rPr>
                <w:rFonts w:ascii="仿宋_GB2312" w:hAnsi="仿宋_GB2312" w:cs="仿宋_GB2312" w:eastAsia="仿宋_GB2312"/>
              </w:rPr>
              <w:t>（二）陕茶优品专题推介活动。包括支付推介活动场地设备费、邀请采购商、采买伴手礼、媒体宣传以及现场服务等。</w:t>
            </w:r>
          </w:p>
          <w:p>
            <w:pPr>
              <w:pStyle w:val="null3"/>
              <w:ind w:firstLine="400"/>
            </w:pPr>
            <w:r>
              <w:rPr>
                <w:rFonts w:ascii="仿宋_GB2312" w:hAnsi="仿宋_GB2312" w:cs="仿宋_GB2312" w:eastAsia="仿宋_GB2312"/>
              </w:rPr>
              <w:t>（三）参访学习。包括参访单位对接、交通等后勤服务等。</w:t>
            </w:r>
          </w:p>
          <w:p>
            <w:pPr>
              <w:pStyle w:val="null3"/>
            </w:pPr>
            <w:r>
              <w:rPr>
                <w:rFonts w:ascii="仿宋_GB2312" w:hAnsi="仿宋_GB2312" w:cs="仿宋_GB2312" w:eastAsia="仿宋_GB2312"/>
              </w:rPr>
              <w:t>（四）服务要求</w:t>
            </w:r>
          </w:p>
          <w:p>
            <w:pPr>
              <w:pStyle w:val="null3"/>
              <w:ind w:firstLine="400"/>
            </w:pPr>
            <w:r>
              <w:rPr>
                <w:rFonts w:ascii="仿宋_GB2312" w:hAnsi="仿宋_GB2312" w:cs="仿宋_GB2312" w:eastAsia="仿宋_GB2312"/>
              </w:rPr>
              <w:t>设计符合展会和展区主题要求，能充分展示陕茶形象；结构安全（符合场馆安全要求，需提供展馆报馆材料）；展位设计要求风格简约、明快，结构通透，创新性和功能性协调统一；媒体宣传、活动服务等可保障发标方要求。</w:t>
            </w:r>
          </w:p>
          <w:p>
            <w:pPr>
              <w:pStyle w:val="null3"/>
            </w:pPr>
            <w:r>
              <w:rPr>
                <w:rFonts w:ascii="仿宋_GB2312" w:hAnsi="仿宋_GB2312" w:cs="仿宋_GB2312" w:eastAsia="仿宋_GB2312"/>
                <w:b/>
              </w:rPr>
              <w:t>三</w:t>
            </w:r>
            <w:r>
              <w:rPr>
                <w:rFonts w:ascii="仿宋_GB2312" w:hAnsi="仿宋_GB2312" w:cs="仿宋_GB2312" w:eastAsia="仿宋_GB2312"/>
                <w:b/>
              </w:rPr>
              <w:t>、主要内容</w:t>
            </w:r>
          </w:p>
          <w:p>
            <w:pPr>
              <w:pStyle w:val="null3"/>
            </w:pPr>
            <w:r>
              <w:rPr>
                <w:rFonts w:ascii="仿宋_GB2312" w:hAnsi="仿宋_GB2312" w:cs="仿宋_GB2312" w:eastAsia="仿宋_GB2312"/>
              </w:rPr>
              <w:t>（一）现场展销。在</w:t>
            </w:r>
            <w:r>
              <w:rPr>
                <w:rFonts w:ascii="仿宋_GB2312" w:hAnsi="仿宋_GB2312" w:cs="仿宋_GB2312" w:eastAsia="仿宋_GB2312"/>
              </w:rPr>
              <w:t>杭州国际博览中心</w:t>
            </w:r>
            <w:r>
              <w:rPr>
                <w:rFonts w:ascii="仿宋_GB2312" w:hAnsi="仿宋_GB2312" w:cs="仿宋_GB2312" w:eastAsia="仿宋_GB2312"/>
              </w:rPr>
              <w:t>3C馆设“陕茶优品”展销展示区</w:t>
            </w:r>
            <w:r>
              <w:rPr>
                <w:rFonts w:ascii="仿宋_GB2312" w:hAnsi="仿宋_GB2312" w:cs="仿宋_GB2312" w:eastAsia="仿宋_GB2312"/>
              </w:rPr>
              <w:t>，组织</w:t>
            </w:r>
            <w:r>
              <w:rPr>
                <w:rFonts w:ascii="仿宋_GB2312" w:hAnsi="仿宋_GB2312" w:cs="仿宋_GB2312" w:eastAsia="仿宋_GB2312"/>
              </w:rPr>
              <w:t>8</w:t>
            </w:r>
            <w:r>
              <w:rPr>
                <w:rFonts w:ascii="仿宋_GB2312" w:hAnsi="仿宋_GB2312" w:cs="仿宋_GB2312" w:eastAsia="仿宋_GB2312"/>
              </w:rPr>
              <w:t>家茶企集中展示陕茶区域公用品牌、企业品牌，为经销商、采购商观展洽谈提供开放式</w:t>
            </w:r>
            <w:r>
              <w:rPr>
                <w:rFonts w:ascii="仿宋_GB2312" w:hAnsi="仿宋_GB2312" w:cs="仿宋_GB2312" w:eastAsia="仿宋_GB2312"/>
              </w:rPr>
              <w:t>交流</w:t>
            </w:r>
            <w:r>
              <w:rPr>
                <w:rFonts w:ascii="仿宋_GB2312" w:hAnsi="仿宋_GB2312" w:cs="仿宋_GB2312" w:eastAsia="仿宋_GB2312"/>
              </w:rPr>
              <w:t>平台。</w:t>
            </w:r>
          </w:p>
          <w:p>
            <w:pPr>
              <w:pStyle w:val="null3"/>
            </w:pPr>
            <w:r>
              <w:rPr>
                <w:rFonts w:ascii="仿宋_GB2312" w:hAnsi="仿宋_GB2312" w:cs="仿宋_GB2312" w:eastAsia="仿宋_GB2312"/>
              </w:rPr>
              <w:t>（二）宣传推介。以</w:t>
            </w:r>
            <w:r>
              <w:rPr>
                <w:rFonts w:ascii="仿宋_GB2312" w:hAnsi="仿宋_GB2312" w:cs="仿宋_GB2312" w:eastAsia="仿宋_GB2312"/>
              </w:rPr>
              <w:t>“陕茶优品 香遇杭州”为主题，邀请浙江、江苏、上海等长三角地区茶叶采购商，通过品鉴座谈、专场推介等方式全方位展现陕茶优良品质，促进产销精准对接。</w:t>
            </w:r>
          </w:p>
          <w:p>
            <w:pPr>
              <w:pStyle w:val="null3"/>
            </w:pPr>
            <w:r>
              <w:rPr>
                <w:rFonts w:ascii="仿宋_GB2312" w:hAnsi="仿宋_GB2312" w:cs="仿宋_GB2312" w:eastAsia="仿宋_GB2312"/>
                <w:sz w:val="21"/>
              </w:rPr>
              <w:t>（三）考察交流。</w:t>
            </w:r>
            <w:r>
              <w:rPr>
                <w:rFonts w:ascii="仿宋_GB2312" w:hAnsi="仿宋_GB2312" w:cs="仿宋_GB2312" w:eastAsia="仿宋_GB2312"/>
                <w:sz w:val="21"/>
              </w:rPr>
              <w:t>组织县区、茶企等</w:t>
            </w:r>
            <w:r>
              <w:rPr>
                <w:rFonts w:ascii="仿宋_GB2312" w:hAnsi="仿宋_GB2312" w:cs="仿宋_GB2312" w:eastAsia="仿宋_GB2312"/>
                <w:sz w:val="21"/>
              </w:rPr>
              <w:t>考察</w:t>
            </w:r>
            <w:r>
              <w:rPr>
                <w:rFonts w:ascii="仿宋_GB2312" w:hAnsi="仿宋_GB2312" w:cs="仿宋_GB2312" w:eastAsia="仿宋_GB2312"/>
                <w:sz w:val="21"/>
              </w:rPr>
              <w:t>学习</w:t>
            </w:r>
            <w:r>
              <w:rPr>
                <w:rFonts w:ascii="仿宋_GB2312" w:hAnsi="仿宋_GB2312" w:cs="仿宋_GB2312" w:eastAsia="仿宋_GB2312"/>
                <w:sz w:val="21"/>
              </w:rPr>
              <w:t>茶叶</w:t>
            </w:r>
            <w:r>
              <w:rPr>
                <w:rFonts w:ascii="仿宋_GB2312" w:hAnsi="仿宋_GB2312" w:cs="仿宋_GB2312" w:eastAsia="仿宋_GB2312"/>
                <w:sz w:val="21"/>
              </w:rPr>
              <w:t>品牌运营、茶文旅融合、精深加工、电商新零售等方面的先进经验，加强</w:t>
            </w:r>
            <w:r>
              <w:rPr>
                <w:rFonts w:ascii="仿宋_GB2312" w:hAnsi="仿宋_GB2312" w:cs="仿宋_GB2312" w:eastAsia="仿宋_GB2312"/>
                <w:sz w:val="21"/>
              </w:rPr>
              <w:t>地区、部门、行业</w:t>
            </w:r>
            <w:r>
              <w:rPr>
                <w:rFonts w:ascii="仿宋_GB2312" w:hAnsi="仿宋_GB2312" w:cs="仿宋_GB2312" w:eastAsia="仿宋_GB2312"/>
                <w:sz w:val="21"/>
              </w:rPr>
              <w:t>交流合作，</w:t>
            </w:r>
            <w:r>
              <w:rPr>
                <w:rFonts w:ascii="仿宋_GB2312" w:hAnsi="仿宋_GB2312" w:cs="仿宋_GB2312" w:eastAsia="仿宋_GB2312"/>
                <w:sz w:val="21"/>
              </w:rPr>
              <w:t>提升陕茶发展能力，拓展</w:t>
            </w:r>
            <w:r>
              <w:rPr>
                <w:rFonts w:ascii="仿宋_GB2312" w:hAnsi="仿宋_GB2312" w:cs="仿宋_GB2312" w:eastAsia="仿宋_GB2312"/>
                <w:sz w:val="21"/>
              </w:rPr>
              <w:t>陕茶知名度</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服务期：2026年5月19日--2026年5月25日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杭州</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根据采购文件、响应文件以及合同约定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根据采购文件、响应文件以及合同约定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一、保证金退还:（1） 未中标单位：招标结束后，将根据所提供信息退还各投标单位保证金，无需亲自前来办理；（2）中标单位：在采购合同签订并按规定交纳代理服务费后五个工作日内退还。（办理退保证金：需提供与甲方签订的合同原件的扫描件一份（pdf格式）发送至此邮箱（945990512@qq.cpm）,发送时务必备注项目名称、项目编号和标段（无标段可不写）； 中标服务费查询请联系财务部：029-89286620转808。 二、保证金提供电子保函的，于开标截止时间前将保函扫描件发送至此邮箱2290417378@qq.com。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提供经审计的完整的2024年度或2025年度的财务报告或提交响应文件截止时间前六个月内其基本账户开户银行出具的资信证明；其他组织和自然人提供银行出具的资信证明或财务报表；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提供响应文件递交截止日前一年内已缴存的至少一个月的纳税证明或完税证明，依法免税的供应商提供相关文件证明；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供应商应授权合法的人员参加磋商，其中法定代表人直接参加的，须出具法定代表人证明书；被授权代表参加的，须出具法定代表人授权书；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2投标人资格证明文件.docx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 3、政府采购评审中出现下列情形之一的，评审委员会应当启动异常低价投标审查程序：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1分项报价表.docx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响应文件封面 2投标人资格证明文件.docx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均按磋商文件要求签字、盖章（评分标准中要求提供的证明材料除外）</w:t>
            </w:r>
          </w:p>
        </w:tc>
        <w:tc>
          <w:tcPr>
            <w:tcW w:type="dxa" w:w="1661"/>
          </w:tcPr>
          <w:p>
            <w:pPr>
              <w:pStyle w:val="null3"/>
            </w:pPr>
            <w:r>
              <w:rPr>
                <w:rFonts w:ascii="仿宋_GB2312" w:hAnsi="仿宋_GB2312" w:cs="仿宋_GB2312" w:eastAsia="仿宋_GB2312"/>
              </w:rPr>
              <w:t>响应文件封面 2投标人资格证明文件.docx 1分项报价表.docx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第一次磋商报价表</w:t>
            </w:r>
          </w:p>
        </w:tc>
        <w:tc>
          <w:tcPr>
            <w:tcW w:type="dxa" w:w="3322"/>
          </w:tcPr>
          <w:p>
            <w:pPr>
              <w:pStyle w:val="null3"/>
            </w:pPr>
            <w:r>
              <w:rPr>
                <w:rFonts w:ascii="仿宋_GB2312" w:hAnsi="仿宋_GB2312" w:cs="仿宋_GB2312" w:eastAsia="仿宋_GB2312"/>
              </w:rPr>
              <w:t>（1）第一次磋商报价表填写符合要求； （2）计量单位、报价货币均符合磋商文件要求； （3）第一次磋商报价未超出采购预算或磋商文件规定的最高限价。</w:t>
            </w:r>
          </w:p>
        </w:tc>
        <w:tc>
          <w:tcPr>
            <w:tcW w:type="dxa" w:w="1661"/>
          </w:tcPr>
          <w:p>
            <w:pPr>
              <w:pStyle w:val="null3"/>
            </w:pPr>
            <w:r>
              <w:rPr>
                <w:rFonts w:ascii="仿宋_GB2312" w:hAnsi="仿宋_GB2312" w:cs="仿宋_GB2312" w:eastAsia="仿宋_GB2312"/>
              </w:rPr>
              <w:t>1分项报价表.docx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完全理解并接受对合格投标人、合格的货物、工程或服务要求，根据供应商响应文件《服务要求偏差表》，结合磋商文件第三章“★”标识的实质性要求没有负偏离。</w:t>
            </w:r>
          </w:p>
        </w:tc>
        <w:tc>
          <w:tcPr>
            <w:tcW w:type="dxa" w:w="1661"/>
          </w:tcPr>
          <w:p>
            <w:pPr>
              <w:pStyle w:val="null3"/>
            </w:pPr>
            <w:r>
              <w:rPr>
                <w:rFonts w:ascii="仿宋_GB2312" w:hAnsi="仿宋_GB2312" w:cs="仿宋_GB2312" w:eastAsia="仿宋_GB2312"/>
              </w:rPr>
              <w:t>3响应偏差表及商务响应说明.docx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有完全理解并接受磋商文件合同基本条款要求的描述</w:t>
            </w:r>
          </w:p>
        </w:tc>
        <w:tc>
          <w:tcPr>
            <w:tcW w:type="dxa" w:w="1661"/>
          </w:tcPr>
          <w:p>
            <w:pPr>
              <w:pStyle w:val="null3"/>
            </w:pPr>
            <w:r>
              <w:rPr>
                <w:rFonts w:ascii="仿宋_GB2312" w:hAnsi="仿宋_GB2312" w:cs="仿宋_GB2312" w:eastAsia="仿宋_GB2312"/>
              </w:rPr>
              <w:t>3响应偏差表及商务响应说明.docx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对项目的理解程度</w:t>
            </w:r>
          </w:p>
        </w:tc>
        <w:tc>
          <w:tcPr>
            <w:tcW w:type="dxa" w:w="2492"/>
          </w:tcPr>
          <w:p>
            <w:pPr>
              <w:pStyle w:val="null3"/>
            </w:pPr>
            <w:r>
              <w:rPr>
                <w:rFonts w:ascii="仿宋_GB2312" w:hAnsi="仿宋_GB2312" w:cs="仿宋_GB2312" w:eastAsia="仿宋_GB2312"/>
              </w:rPr>
              <w:t>根据供应商对本项目的理解分析进行综合评审： 1、对本项目的背景、内容及意义理解非常透彻，对项目的重点及难点有具体分析及具体措施,对项目功能定位和展会需求理解透彻，现场展会规划合理,计12分； 2、对本项目的背景、内容及意义有较好的理解,对项目重点及难点有较好的分析,对项目功能定位和展会需求有较好的理解, 现场展会规划较合理，计9分； 3、对本项目的背景、内容及意义有一定理解,对项目重点及难点有一定分析,对项目功能定位和展会需求有一定理解, 现场展会规划有一定的合理性，计6分； 4、对本项目的背景、内容及意义理解不到位,对项目重点及难点分析较差,对项目功能定位和展会需求的理解较差, 现场展会规划不够合理，计3分； 5、未提供或其他不得分。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供应商针对本项目制定的实施方案（包括但不限于展会策划、场地搭建、会场布置、工作流程节点梳理、工作制度，会议现场的管理、组织及协调，团队人员安排、秩序维护、安保计划、后勤保障、医疗救援等方面）进行评审： 1、项目实施方案内容详细完整、科学合理、针对性强、可行性高，完全满足项目采购要求的，计12分； 2、项目实施方案内容较为详细完整、科学合理，针对性较强、可行性较高，满足项目采购要求的，计9分； 3、项目实施方案内容基本完整、合理，针对性、可行性一般，基本满足项目采购要求的，计6分； 4、项目实施方案内容不够详细完整，合理性、针对性、可行性较差，部分满足项目采购要求的，计3分； 5、未提供或其他不得分。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展会设计及展馆结构详细方案</w:t>
            </w:r>
          </w:p>
        </w:tc>
        <w:tc>
          <w:tcPr>
            <w:tcW w:type="dxa" w:w="2492"/>
          </w:tcPr>
          <w:p>
            <w:pPr>
              <w:pStyle w:val="null3"/>
            </w:pPr>
            <w:r>
              <w:rPr>
                <w:rFonts w:ascii="仿宋_GB2312" w:hAnsi="仿宋_GB2312" w:cs="仿宋_GB2312" w:eastAsia="仿宋_GB2312"/>
              </w:rPr>
              <w:t>根据供应商针对本项目提出的展会设计及展馆结构详细方案（包括展区设计方案、视觉设计方案、搭建结构安全性、宣传方案以及其他展会物料设计等方面）进行评审： 1、展区设计及视觉设计方案完全满足项目采购要求，会议主题突出、构思新颖，结构安全性高，布局合理、视觉效果好，操作简易、易于维护，计15分； 2、展区设计及视觉设计方案满足项目采购要求，会议主题较突出、构思较新颖，结构安全性较高，布局合理、视觉效果较好，操作简易、易于维护，计12分； 3、展区设计及视觉设计方案基本满足项目采购要求，主题、构思、安全性、布局、视觉效果一般，计8分； 4、展区设计及视觉设计方案欠缺，不能满足项目采购要求，主题、构思、安全性、布局、视觉效果较差，计3分； 5、未提供或其他不得分。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进度计划保证措施</w:t>
            </w:r>
          </w:p>
        </w:tc>
        <w:tc>
          <w:tcPr>
            <w:tcW w:type="dxa" w:w="2492"/>
          </w:tcPr>
          <w:p>
            <w:pPr>
              <w:pStyle w:val="null3"/>
            </w:pPr>
            <w:r>
              <w:rPr>
                <w:rFonts w:ascii="仿宋_GB2312" w:hAnsi="仿宋_GB2312" w:cs="仿宋_GB2312" w:eastAsia="仿宋_GB2312"/>
              </w:rPr>
              <w:t>1、制定了详细、合理的项目进度计划及进度计划保证措施，可实施性强，计9分； 2、制定了比较详细、合理的项目进度计划及进度计划保证措施，可实施性一般，计6分； 3、制定的项目进度计划及进度计划保证措施较差，内容空泛，计3分； 4、未提供或其他情况不得分。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1、项目服务质量保障措施具体、合理、可行，且完全满足设计方案修改、汇报进度等要求，计10分； 2、项目服务质量保障措施比较具体、合理、可行，能够满足设计方案修改、汇报进度等要求，计8分； 3、项目服务质量保障措施一般，合理性、可行性一般，计5分； 4、项目服务质量保障措施较差，合理性、可行性较差，计3分； 5、未提供或其他不得分。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应急预案及突发事件应急保障措施</w:t>
            </w:r>
          </w:p>
        </w:tc>
        <w:tc>
          <w:tcPr>
            <w:tcW w:type="dxa" w:w="2492"/>
          </w:tcPr>
          <w:p>
            <w:pPr>
              <w:pStyle w:val="null3"/>
            </w:pPr>
            <w:r>
              <w:rPr>
                <w:rFonts w:ascii="仿宋_GB2312" w:hAnsi="仿宋_GB2312" w:cs="仿宋_GB2312" w:eastAsia="仿宋_GB2312"/>
              </w:rPr>
              <w:t>根据供应商提供的应急预案及突发事件应急保障措施进行评审： 1、应急预案内容分析全面、具体、合理，应对突发事件的保障措施详细、可行、有针对性，计9分； 2、应急预案内容分析较为全面、具体、合理，应对突发事件的保障措施较为详细、可行，比较有针对性，计6分； 3、应急预案内容分析不够全面、具体、合理，应对突发事件的保障措施不够详细，可行性、针对性较差，计3分； 4、未提供或其他不得分。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根据供应商针对本项目配备的团队人员情况进行评审： 1、团队组织架构、人员构成及分工合理，岗位设置明确，责任制度严谨、规范，工作人员经验丰富，计9分； 2、团队组织架构、人员构成及分工较为合理，岗位设置比较明确，责任制度较为严谨、规范，工作人员经验比较丰富，计6分； 3、团队组织架构、人员构成及分工不够合理，岗位设置不够明确，责任制度不够严谨、规范，工作人员经验较少，计3分； 4、未提供或其他不得分。 注：须提供项目团队人员名单（包括姓名、工作职责、主要工作业绩和经历等），否则不得分。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供应商针对本项目须确保项目能按时、按质、完成，并提供包含达到预期效果的服务承诺和保证措施，且有具体的技术服务措施、后期跟进服务能力。 1、承诺合理全面、操作性强，计6分； 2、承诺基本合理、具备操作性，计4分； 3、承诺不合理、不符合项目特点，计2分； 4、未提供或其他不得分。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供应商提供2023年1月1日至今承办的类似服务业绩（以合同签订日期为准），每个业绩计2分，满分8分。 备注：响应文件中提供合同扫描件加盖公章。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详见附件：3响应偏差表及商务响应说明.docx</w:t>
      </w:r>
    </w:p>
    <w:p>
      <w:pPr>
        <w:pStyle w:val="null3"/>
        <w:ind w:firstLine="960"/>
      </w:pPr>
      <w:r>
        <w:rPr>
          <w:rFonts w:ascii="仿宋_GB2312" w:hAnsi="仿宋_GB2312" w:cs="仿宋_GB2312" w:eastAsia="仿宋_GB2312"/>
        </w:rPr>
        <w:t>详见附件：4投标方案.docx</w:t>
      </w:r>
    </w:p>
    <w:p>
      <w:pPr>
        <w:pStyle w:val="null3"/>
        <w:ind w:firstLine="960"/>
      </w:pPr>
      <w:r>
        <w:rPr>
          <w:rFonts w:ascii="仿宋_GB2312" w:hAnsi="仿宋_GB2312" w:cs="仿宋_GB2312" w:eastAsia="仿宋_GB2312"/>
        </w:rPr>
        <w:t>详见附件：5业绩.docx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