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版本号：SNJZ-2026-11520260429001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2026年干部职工（含退休）体检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SNJZ-2026-115</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2026年干部职工（含退休）体检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2026年干部职工（含退休）体检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2026年干部职工（含退休）体检服务。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2024年度或2025年度的财务报告或提交磋商响应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4、税收缴纳证明：提供磋商响应文件递交截止时间前近十二个月内至少一个月已缴纳的纳税凭据或完税证明；依法免税的供应商应提供相关文件证明。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8、供应商资质要求：供应商须具备卫生行政部门颁发的《医疗机构执业许可证》及《放射诊疗许可证》。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029-86138196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采购包1：868,500.00元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五(5)个日历日内，按照原国家计委《招标代理服务收费管理暂行办法》(计价格[2002]1980号)及发改办价格[2003]857号文件规定的收费标准，向陕西教育招标有限责任公司交纳招标代理服务费。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2026年干部职工（含退休）体检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868,500.00</w:t>
      </w:r>
    </w:p>
    <w:p>
      <w:pPr>
        <w:pStyle w:val="null3"/>
      </w:pPr>
      <w:r>
        <w:rPr>
          <w:rFonts w:ascii="仿宋_GB2312" w:hAnsi="仿宋_GB2312" w:cs="仿宋_GB2312" w:eastAsia="仿宋_GB2312"/>
        </w:rPr>
        <w:t>采购包最高限价（元）: 868,500.00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2026年干部职工（含退休）体检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868,500.00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标的名称：2026年干部职工（含退休）体检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2"/>
            </w:tblGrid>
            <w:tr>
              <w:tc>
                <w:tcPr>
                  <w:tcW w:type="dxa" w:w="2552"/>
                  <w:tcBorders>
                    <w:top w:val="single" w:color="333333" w:sz="4"/>
                    <w:left w:val="single" w:color="333333" w:sz="4"/>
                    <w:bottom w:val="single" w:color="333333" w:sz="4"/>
                    <w:right w:val="single" w:color="333333" w:sz="4"/>
                  </w:tcBorders>
                  <w:tcMar>
                    <w:top w:type="dxa" w:w="75"/>
                    <w:left w:type="dxa" w:w="120"/>
                    <w:bottom w:type="dxa" w:w="75"/>
                    <w:right w:type="dxa" w:w="120"/>
                  </w:tcMar>
                  <w:vAlign w:val="top"/>
                </w:tcPr>
                <w:p>
                  <w:pPr>
                    <w:pStyle w:val="null3"/>
                  </w:pPr>
                  <w:r>
                    <w:rPr>
                      <w:rFonts w:ascii="仿宋_GB2312" w:hAnsi="仿宋_GB2312" w:cs="仿宋_GB2312" w:eastAsia="仿宋_GB2312"/>
                      <w:sz w:val="24"/>
                      <w:color w:val="4F81BD"/>
                    </w:rPr>
                    <w:t>一、体检范围及人数</w:t>
                  </w:r>
                </w:p>
                <w:p>
                  <w:pPr>
                    <w:pStyle w:val="null3"/>
                  </w:pPr>
                  <w:r>
                    <w:rPr>
                      <w:rFonts w:ascii="仿宋_GB2312" w:hAnsi="仿宋_GB2312" w:cs="仿宋_GB2312" w:eastAsia="仿宋_GB2312"/>
                      <w:sz w:val="24"/>
                      <w:color w:val="4F81BD"/>
                    </w:rPr>
                    <w:t>经人事处核定的机关在职干部职工编制名单、离退处上报的退休人员名单，确定本次体检总人数为</w:t>
                  </w:r>
                  <w:r>
                    <w:rPr>
                      <w:rFonts w:ascii="仿宋_GB2312" w:hAnsi="仿宋_GB2312" w:cs="仿宋_GB2312" w:eastAsia="仿宋_GB2312"/>
                      <w:sz w:val="24"/>
                      <w:color w:val="4F81BD"/>
                    </w:rPr>
                    <w:t>579人，具体分类如下：总工总监3人、市场督查专员4人、驻局纪检组9人、机关各处室224人、直属行政机构112人、退休干部职工227人。其中，男性414人，女性165人（未婚8人）。</w:t>
                  </w:r>
                </w:p>
                <w:p>
                  <w:pPr>
                    <w:pStyle w:val="null3"/>
                  </w:pPr>
                  <w:r>
                    <w:rPr>
                      <w:rFonts w:ascii="仿宋_GB2312" w:hAnsi="仿宋_GB2312" w:cs="仿宋_GB2312" w:eastAsia="仿宋_GB2312"/>
                      <w:sz w:val="24"/>
                      <w:color w:val="4F81BD"/>
                    </w:rPr>
                    <w:t>二、体检项目</w:t>
                  </w:r>
                </w:p>
                <w:p>
                  <w:pPr>
                    <w:pStyle w:val="null3"/>
                  </w:pPr>
                  <w:r>
                    <w:rPr>
                      <w:rFonts w:ascii="仿宋_GB2312" w:hAnsi="仿宋_GB2312" w:cs="仿宋_GB2312" w:eastAsia="仿宋_GB2312"/>
                      <w:sz w:val="24"/>
                      <w:color w:val="4F81BD"/>
                    </w:rPr>
                    <w:t>本次体检安排包含基础检查、专项检查及健康服务类项目，具体如下：常规检查、内科、外科、眼科、耳鼻喉科、眼底照相、眼压、裂隙灯、血常规五分类、尿液分析、肝功</w:t>
                  </w:r>
                  <w:r>
                    <w:rPr>
                      <w:rFonts w:ascii="仿宋_GB2312" w:hAnsi="仿宋_GB2312" w:cs="仿宋_GB2312" w:eastAsia="仿宋_GB2312"/>
                      <w:sz w:val="24"/>
                      <w:color w:val="4F81BD"/>
                    </w:rPr>
                    <w:t>9项、肾功能3项、血脂4项、空腹血糖、乙肝系列、腹部彩超、甲状腺彩超、泌尿彩超、妇科彩超+双肾、乳腺彩超、AFP（甲胎蛋白）、CEA（癌胚抗原）、TPSA（前列腺特异性抗原）、CA125（糖类抗原125）、心肌酶谱、心电图、经颅多普勒、颈部血管彩超、心脏彩超、人细胞角蛋白18片段、碳13呼气试验、胸部CT、头颅CT、妇科检查（限已婚人员）、液基细胞涂片（限已婚人员）、出具总检结论、慢病风险分析评估、危急值预警、专病回访、专家健康咨询、电子健康档案及健康综合评估报告。</w:t>
                  </w:r>
                </w:p>
                <w:p>
                  <w:pPr>
                    <w:pStyle w:val="null3"/>
                  </w:pPr>
                  <w:r>
                    <w:rPr>
                      <w:rFonts w:ascii="仿宋_GB2312" w:hAnsi="仿宋_GB2312" w:cs="仿宋_GB2312" w:eastAsia="仿宋_GB2312"/>
                      <w:sz w:val="24"/>
                      <w:color w:val="4F81BD"/>
                    </w:rPr>
                    <w:t>1.体检清单</w:t>
                  </w:r>
                </w:p>
                <w:tbl>
                  <w:tblPr>
                    <w:tblBorders>
                      <w:top w:val="none" w:color="000000" w:sz="4"/>
                      <w:left w:val="none" w:color="000000" w:sz="4"/>
                      <w:bottom w:val="none" w:color="000000" w:sz="4"/>
                      <w:right w:val="none" w:color="000000" w:sz="4"/>
                      <w:insideH w:val="none"/>
                      <w:insideV w:val="none"/>
                    </w:tblBorders>
                  </w:tblPr>
                  <w:tblGrid>
                    <w:gridCol w:w="477"/>
                    <w:gridCol w:w="640"/>
                    <w:gridCol w:w="247"/>
                    <w:gridCol w:w="269"/>
                    <w:gridCol w:w="269"/>
                  </w:tblGrid>
                  <w:tr>
                    <w:tc>
                      <w:tcPr>
                        <w:tcW w:type="dxa" w:w="4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序号</w:t>
                        </w:r>
                      </w:p>
                    </w:tc>
                    <w:tc>
                      <w:tcPr>
                        <w:tcW w:type="dxa" w:w="6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项目</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男性</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女性</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女性</w:t>
                        </w:r>
                      </w:p>
                    </w:tc>
                  </w:tr>
                  <w:tr>
                    <w:tc>
                      <w:tcPr>
                        <w:tcW w:type="dxa" w:w="477"/>
                        <w:vMerge/>
                        <w:tcBorders>
                          <w:top w:val="single" w:color="000000" w:sz="4"/>
                          <w:left w:val="single" w:color="000000" w:sz="4"/>
                          <w:bottom w:val="single" w:color="000000" w:sz="4"/>
                          <w:right w:val="single" w:color="000000" w:sz="4"/>
                        </w:tcBorders>
                      </w:tcPr>
                      <w:p/>
                    </w:tc>
                    <w:tc>
                      <w:tcPr>
                        <w:tcW w:type="dxa" w:w="640"/>
                        <w:vMerge/>
                        <w:tcBorders>
                          <w:top w:val="singl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已婚</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未婚</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临床科室检查</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常规</w:t>
                        </w:r>
                        <w:r>
                          <w:rPr>
                            <w:rFonts w:ascii="仿宋_GB2312" w:hAnsi="仿宋_GB2312" w:cs="仿宋_GB2312" w:eastAsia="仿宋_GB2312"/>
                            <w:sz w:val="24"/>
                            <w:color w:val="4F81BD"/>
                          </w:rPr>
                          <w:t>检查</w:t>
                        </w:r>
                      </w:p>
                    </w:tc>
                    <w:tc>
                      <w:tcPr>
                        <w:tcW w:type="dxa" w:w="2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24"/>
                            <w:color w:val="4F81BD"/>
                          </w:rPr>
                          <w:t>√</w:t>
                        </w:r>
                      </w:p>
                      <w:p>
                        <w:pPr>
                          <w:pStyle w:val="null3"/>
                        </w:pPr>
                        <w:r>
                          <w:rPr>
                            <w:rFonts w:ascii="仿宋_GB2312" w:hAnsi="仿宋_GB2312" w:cs="仿宋_GB2312" w:eastAsia="仿宋_GB2312"/>
                            <w:sz w:val="19"/>
                          </w:rPr>
                          <w:t xml:space="preserve"> </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24"/>
                            <w:color w:val="4F81BD"/>
                          </w:rPr>
                          <w:t>√</w:t>
                        </w:r>
                      </w:p>
                      <w:p>
                        <w:pPr>
                          <w:pStyle w:val="null3"/>
                        </w:pPr>
                        <w:r>
                          <w:rPr>
                            <w:rFonts w:ascii="仿宋_GB2312" w:hAnsi="仿宋_GB2312" w:cs="仿宋_GB2312" w:eastAsia="仿宋_GB2312"/>
                            <w:sz w:val="19"/>
                          </w:rPr>
                          <w:t xml:space="preserve"> </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内科</w:t>
                        </w:r>
                      </w:p>
                    </w:tc>
                    <w:tc>
                      <w:tcPr>
                        <w:tcW w:type="dxa" w:w="247"/>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外科</w:t>
                        </w:r>
                      </w:p>
                    </w:tc>
                    <w:tc>
                      <w:tcPr>
                        <w:tcW w:type="dxa" w:w="247"/>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眼科</w:t>
                        </w:r>
                      </w:p>
                    </w:tc>
                    <w:tc>
                      <w:tcPr>
                        <w:tcW w:type="dxa" w:w="247"/>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耳鼻喉科</w:t>
                        </w:r>
                      </w:p>
                    </w:tc>
                    <w:tc>
                      <w:tcPr>
                        <w:tcW w:type="dxa" w:w="247"/>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眼底照相</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眼压</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裂隙灯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血液常规检查</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血常规五分类</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尿液分析</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肝功</w:t>
                        </w:r>
                        <w:r>
                          <w:rPr>
                            <w:rFonts w:ascii="仿宋_GB2312" w:hAnsi="仿宋_GB2312" w:cs="仿宋_GB2312" w:eastAsia="仿宋_GB2312"/>
                            <w:sz w:val="24"/>
                            <w:color w:val="4F81BD"/>
                          </w:rPr>
                          <w:t>9</w:t>
                        </w:r>
                        <w:r>
                          <w:rPr>
                            <w:rFonts w:ascii="仿宋_GB2312" w:hAnsi="仿宋_GB2312" w:cs="仿宋_GB2312" w:eastAsia="仿宋_GB2312"/>
                            <w:sz w:val="24"/>
                            <w:color w:val="4F81BD"/>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肾功能</w:t>
                        </w:r>
                        <w:r>
                          <w:rPr>
                            <w:rFonts w:ascii="仿宋_GB2312" w:hAnsi="仿宋_GB2312" w:cs="仿宋_GB2312" w:eastAsia="仿宋_GB2312"/>
                            <w:sz w:val="24"/>
                            <w:color w:val="4F81BD"/>
                          </w:rPr>
                          <w:t>3项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血脂</w:t>
                        </w:r>
                        <w:r>
                          <w:rPr>
                            <w:rFonts w:ascii="仿宋_GB2312" w:hAnsi="仿宋_GB2312" w:cs="仿宋_GB2312" w:eastAsia="仿宋_GB2312"/>
                            <w:sz w:val="24"/>
                            <w:color w:val="4F81BD"/>
                          </w:rPr>
                          <w:t>4项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空腹血糖</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乙肝系列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肿瘤标志物筛查</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AFP</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CEA</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T</w:t>
                        </w:r>
                        <w:r>
                          <w:rPr>
                            <w:rFonts w:ascii="仿宋_GB2312" w:hAnsi="仿宋_GB2312" w:cs="仿宋_GB2312" w:eastAsia="仿宋_GB2312"/>
                            <w:sz w:val="24"/>
                            <w:color w:val="4F81BD"/>
                          </w:rPr>
                          <w:t>PSA</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CA125</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超声检查</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腹部彩超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甲状腺彩超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泌尿彩超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妇科彩超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双肾</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乳腺彩超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脑血管专病筛查</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经颅多普勒</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头颅</w:t>
                        </w:r>
                        <w:r>
                          <w:rPr>
                            <w:rFonts w:ascii="仿宋_GB2312" w:hAnsi="仿宋_GB2312" w:cs="仿宋_GB2312" w:eastAsia="仿宋_GB2312"/>
                            <w:sz w:val="24"/>
                            <w:color w:val="4F81BD"/>
                          </w:rPr>
                          <w:t>CT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颈部血管彩超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心血管专病筛查</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心肌酶谱</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心脏彩超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心电图</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功能科室检查</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碳</w:t>
                        </w:r>
                        <w:r>
                          <w:rPr>
                            <w:rFonts w:ascii="仿宋_GB2312" w:hAnsi="仿宋_GB2312" w:cs="仿宋_GB2312" w:eastAsia="仿宋_GB2312"/>
                            <w:sz w:val="24"/>
                            <w:color w:val="4F81BD"/>
                          </w:rPr>
                          <w:t>13呼气试验</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人细胞角蛋白</w:t>
                        </w:r>
                        <w:r>
                          <w:rPr>
                            <w:rFonts w:ascii="仿宋_GB2312" w:hAnsi="仿宋_GB2312" w:cs="仿宋_GB2312" w:eastAsia="仿宋_GB2312"/>
                            <w:sz w:val="24"/>
                            <w:color w:val="4F81BD"/>
                          </w:rPr>
                          <w:t>18片段</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肺部疾病筛查</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胸部</w:t>
                        </w:r>
                        <w:r>
                          <w:rPr>
                            <w:rFonts w:ascii="仿宋_GB2312" w:hAnsi="仿宋_GB2312" w:cs="仿宋_GB2312" w:eastAsia="仿宋_GB2312"/>
                            <w:sz w:val="24"/>
                            <w:color w:val="4F81BD"/>
                          </w:rPr>
                          <w:t>CT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妇科</w:t>
                        </w:r>
                        <w:r>
                          <w:rPr>
                            <w:rFonts w:ascii="仿宋_GB2312" w:hAnsi="仿宋_GB2312" w:cs="仿宋_GB2312" w:eastAsia="仿宋_GB2312"/>
                            <w:sz w:val="24"/>
                            <w:b/>
                            <w:color w:val="4F81BD"/>
                          </w:rPr>
                          <w:t>专项检查</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妇科检查（已婚）</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477"/>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液基细胞图片（已婚）</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4F81BD"/>
                          </w:rPr>
                          <w:t>/</w:t>
                        </w:r>
                      </w:p>
                    </w:tc>
                  </w:tr>
                  <w:tr>
                    <w:tc>
                      <w:tcPr>
                        <w:tcW w:type="dxa" w:w="11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合计</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4F81BD"/>
                          </w:rPr>
                          <w:t>414</w:t>
                        </w:r>
                        <w:r>
                          <w:rPr>
                            <w:rFonts w:ascii="仿宋_GB2312" w:hAnsi="仿宋_GB2312" w:cs="仿宋_GB2312" w:eastAsia="仿宋_GB2312"/>
                            <w:sz w:val="24"/>
                            <w:b/>
                            <w:color w:val="4F81BD"/>
                          </w:rPr>
                          <w:t>人</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4F81BD"/>
                          </w:rPr>
                          <w:t>157</w:t>
                        </w:r>
                        <w:r>
                          <w:rPr>
                            <w:rFonts w:ascii="仿宋_GB2312" w:hAnsi="仿宋_GB2312" w:cs="仿宋_GB2312" w:eastAsia="仿宋_GB2312"/>
                            <w:sz w:val="24"/>
                            <w:b/>
                            <w:color w:val="4F81BD"/>
                          </w:rPr>
                          <w:t>人</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4F81BD"/>
                          </w:rPr>
                          <w:t>8</w:t>
                        </w:r>
                        <w:r>
                          <w:rPr>
                            <w:rFonts w:ascii="仿宋_GB2312" w:hAnsi="仿宋_GB2312" w:cs="仿宋_GB2312" w:eastAsia="仿宋_GB2312"/>
                            <w:sz w:val="24"/>
                            <w:b/>
                            <w:color w:val="4F81BD"/>
                          </w:rPr>
                          <w:t>人</w:t>
                        </w:r>
                      </w:p>
                    </w:tc>
                  </w:tr>
                  <w:tr>
                    <w:tc>
                      <w:tcPr>
                        <w:tcW w:type="dxa" w:w="163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4F81BD"/>
                          </w:rPr>
                          <w:t>“体检清单”中标记“√”的为须体检项目，标记“/”的为无需体检项目</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sz w:val="24"/>
                      <w:b/>
                      <w:color w:val="4F81BD"/>
                    </w:rPr>
                    <w:t>三</w:t>
                  </w:r>
                  <w:r>
                    <w:rPr>
                      <w:rFonts w:ascii="仿宋_GB2312" w:hAnsi="仿宋_GB2312" w:cs="仿宋_GB2312" w:eastAsia="仿宋_GB2312"/>
                      <w:sz w:val="24"/>
                      <w:b/>
                      <w:color w:val="4F81BD"/>
                    </w:rPr>
                    <w:t>.</w:t>
                  </w:r>
                  <w:r>
                    <w:rPr>
                      <w:rFonts w:ascii="仿宋_GB2312" w:hAnsi="仿宋_GB2312" w:cs="仿宋_GB2312" w:eastAsia="仿宋_GB2312"/>
                      <w:sz w:val="24"/>
                      <w:b/>
                      <w:color w:val="4F81BD"/>
                    </w:rPr>
                    <w:t>其他服务</w:t>
                  </w:r>
                </w:p>
                <w:p>
                  <w:pPr>
                    <w:pStyle w:val="null3"/>
                  </w:pPr>
                  <w:r>
                    <w:rPr>
                      <w:rFonts w:ascii="仿宋_GB2312" w:hAnsi="仿宋_GB2312" w:cs="仿宋_GB2312" w:eastAsia="仿宋_GB2312"/>
                      <w:sz w:val="24"/>
                      <w:color w:val="4F81BD"/>
                    </w:rPr>
                    <w:t>1)提供总检结论：总检结论、健康建议、电子档案；</w:t>
                  </w:r>
                </w:p>
                <w:p>
                  <w:pPr>
                    <w:pStyle w:val="null3"/>
                  </w:pPr>
                  <w:r>
                    <w:rPr>
                      <w:rFonts w:ascii="仿宋_GB2312" w:hAnsi="仿宋_GB2312" w:cs="仿宋_GB2312" w:eastAsia="仿宋_GB2312"/>
                      <w:sz w:val="24"/>
                      <w:color w:val="4F81BD"/>
                    </w:rPr>
                    <w:t>2)提供慢病风险分析评估：专家分析各项检测结果，做出体检汇总、终检结论、健康建议（疾病解释、治疗建议、医疗保健建议、日常饮食建议、日常运动建议等科普宣教）；</w:t>
                  </w:r>
                </w:p>
                <w:p>
                  <w:pPr>
                    <w:pStyle w:val="null3"/>
                  </w:pPr>
                  <w:r>
                    <w:rPr>
                      <w:rFonts w:ascii="仿宋_GB2312" w:hAnsi="仿宋_GB2312" w:cs="仿宋_GB2312" w:eastAsia="仿宋_GB2312"/>
                      <w:sz w:val="24"/>
                      <w:color w:val="4F81BD"/>
                    </w:rPr>
                    <w:t>3)提供危急值预警：检后实施危急值、重大阳性发现回访预警管理体系：对危急值24小时通知到本人；重大阳性发现预警跟踪复诊提醒；</w:t>
                  </w:r>
                </w:p>
                <w:p>
                  <w:pPr>
                    <w:pStyle w:val="null3"/>
                  </w:pPr>
                  <w:r>
                    <w:rPr>
                      <w:rFonts w:ascii="仿宋_GB2312" w:hAnsi="仿宋_GB2312" w:cs="仿宋_GB2312" w:eastAsia="仿宋_GB2312"/>
                      <w:sz w:val="24"/>
                      <w:color w:val="4F81BD"/>
                    </w:rPr>
                    <w:t>4)提供专病回访：检后开展慢病及专病的回访跟踪服务、减重管理、运动管理，做到“早发现、早诊断、早治疗”；</w:t>
                  </w:r>
                </w:p>
                <w:p>
                  <w:pPr>
                    <w:pStyle w:val="null3"/>
                  </w:pPr>
                  <w:r>
                    <w:rPr>
                      <w:rFonts w:ascii="仿宋_GB2312" w:hAnsi="仿宋_GB2312" w:cs="仿宋_GB2312" w:eastAsia="仿宋_GB2312"/>
                      <w:sz w:val="24"/>
                      <w:color w:val="4F81BD"/>
                    </w:rPr>
                    <w:t>5)提供专家健康咨询：健康管理部周一至周五下午免费报告咨询解答，开设慢病咨询门诊建立快速就医通道，并提供一次团体上门解读报告服务；</w:t>
                  </w:r>
                </w:p>
                <w:p>
                  <w:pPr>
                    <w:pStyle w:val="null3"/>
                  </w:pPr>
                  <w:r>
                    <w:rPr>
                      <w:rFonts w:ascii="仿宋_GB2312" w:hAnsi="仿宋_GB2312" w:cs="仿宋_GB2312" w:eastAsia="仿宋_GB2312"/>
                      <w:sz w:val="24"/>
                      <w:color w:val="4F81BD"/>
                    </w:rPr>
                    <w:t>6)提供电子档案：为体检者建立电子健康档案，可手机在线查询；</w:t>
                  </w:r>
                </w:p>
                <w:p>
                  <w:pPr>
                    <w:pStyle w:val="null3"/>
                    <w:ind w:firstLine="480"/>
                    <w:jc w:val="both"/>
                  </w:pPr>
                  <w:r>
                    <w:rPr>
                      <w:rFonts w:ascii="仿宋_GB2312" w:hAnsi="仿宋_GB2312" w:cs="仿宋_GB2312" w:eastAsia="仿宋_GB2312"/>
                      <w:sz w:val="24"/>
                      <w:color w:val="4F81BD"/>
                    </w:rPr>
                    <w:t>7)提供早餐：提供牛奶、面包各一份，干净卫生。</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拟于2026年6月中下旬，集中8天时间进行体检。具体时间根据采购人及成交单位统筹安排另行约定。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成交人体检场所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体检项目结束后 ，服务质量无争议</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按《中华人民共和国民法典》及有关法律 法规中的相关条款对违约情况进行处理； (2) 未按合同要求提供服务或服务质量不能满足要求，采购人会同相关单位有权终止合同，并对违约方的违约行为进行追究， 同时按有关法规进行相应的处罚。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1、项目结束后，成交供应商需线下提交三份纸质版响应文件（提交地点：陕西教育招标有限责任公司，西安市太白南路181号西部电子社区A座B区401）。 2、体检项目结束后，根据实际体检人数进行据实结算。3、供应商开标当天在系统中进行最后报价，最终结算的单价=一次报价的单价×（最后报价总价/一次报价总价）。4、本年度体检周期完成后，由采购人对成交供应商进行考核，考核满意度达到90%及以上可续签下一年合同，但中标价格不予调整，续签期限不超过三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的财务报告或提交磋商响应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提供磋商响应文件递交截止时间前近十二个月内至少一个月已缴纳的纳税凭据或完税证明；依法免税的供应商应提供相关文件证明。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供应商须具备卫生行政部门颁发的《医疗机构执业许可证》及《放射诊疗许可证》。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商务及其他要求</w:t>
            </w:r>
          </w:p>
        </w:tc>
        <w:tc>
          <w:tcPr>
            <w:tcW w:type="dxa" w:w="3322"/>
          </w:tcPr>
          <w:p>
            <w:pPr>
              <w:pStyle w:val="null3"/>
            </w:pPr>
            <w:r>
              <w:rPr>
                <w:rFonts w:ascii="仿宋_GB2312" w:hAnsi="仿宋_GB2312" w:cs="仿宋_GB2312" w:eastAsia="仿宋_GB2312"/>
              </w:rPr>
              <w:t>不满足磋商文件“第三章 磋商项目技术、服务、商务及其他要求”中3.3商务要求及3.4其他要求所列条款，响应文件作无效处理。</w:t>
            </w:r>
          </w:p>
        </w:tc>
        <w:tc>
          <w:tcPr>
            <w:tcW w:type="dxa" w:w="1661"/>
          </w:tcPr>
          <w:p>
            <w:pPr>
              <w:pStyle w:val="null3"/>
            </w:pPr>
            <w:r>
              <w:rPr>
                <w:rFonts w:ascii="仿宋_GB2312" w:hAnsi="仿宋_GB2312" w:cs="仿宋_GB2312" w:eastAsia="仿宋_GB2312"/>
              </w:rPr>
              <w:t>响应文件封面 商务及其他要求响应偏离表.docx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 响应文件作为无效处理。</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提供专业化服务方案：①体检流程；②检前预约及告知方案；③各项体检操作规程；④ 受检者注意事项。 二、评审标准 完整性：方案必须全面，对评审内容中的各项要求有详细描述；可实施性：切合本项目实际情况，提出步骤清晰、合理的方案；针对性：方案能够紧扣项目实际情况，内容科学合理。 三、赋分标准（满分12分） ①体检流程：完全满足每个评审标准得1分，有瑕疵得0.5分，有缺陷得0分。满分3分。 ②检前预约及告知方案：完全满足每个评审标准得1分，有瑕疵得0.5分，有缺陷得0分。满分3分。 ③各项体检操作规程：完全满足每个评审标准得1分，有瑕疵得0.5分，有缺陷得0分。满分3分。④受检者注意事项：完全满足每个评审标准得1分，有瑕疵得0.5分，有缺陷得0分。满分3分。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体检管理制度</w:t>
            </w:r>
          </w:p>
        </w:tc>
        <w:tc>
          <w:tcPr>
            <w:tcW w:type="dxa" w:w="2492"/>
          </w:tcPr>
          <w:p>
            <w:pPr>
              <w:pStyle w:val="null3"/>
            </w:pPr>
            <w:r>
              <w:rPr>
                <w:rFonts w:ascii="仿宋_GB2312" w:hAnsi="仿宋_GB2312" w:cs="仿宋_GB2312" w:eastAsia="仿宋_GB2312"/>
              </w:rPr>
              <w:t>一、评审内容 提供体检管理制度：①核心环节质量管控措施（包含一对一咨询服务、检后健康讲座）；②整改机制；③完善的售后服务体系；④服务保障方案（包括管理制度及投诉处理措施、补救措施等） 二、评审标准 完整性：方案必须全面，对评审内容中的各项要求有详细描述；可实施性：切合本项目实际情况，提出步骤清晰、合理的方案；针对性：方案能够紧扣项目实际情况，内容科学合理。 三、赋分标准（满分12分） ①核心环节质量管控措施：完全满足每个评审标准得1分，有瑕疵得0.5分，有缺陷得0分。满分3分。 ②整改机制：完全满足每个评审标准得1分，有瑕疵得0.5分，有缺陷得0分。满分3分。 ③完善的售后服务体系：完全满足每个评审标准得1分，有瑕疵得0.5分，有缺陷得0分。满分3分。 ④服务保障方案：完全满足每个评审标准得1分，有瑕疵得0.5分，有缺陷得0分。满分3分。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体检环境</w:t>
            </w:r>
          </w:p>
        </w:tc>
        <w:tc>
          <w:tcPr>
            <w:tcW w:type="dxa" w:w="2492"/>
          </w:tcPr>
          <w:p>
            <w:pPr>
              <w:pStyle w:val="null3"/>
            </w:pPr>
            <w:r>
              <w:rPr>
                <w:rFonts w:ascii="仿宋_GB2312" w:hAnsi="仿宋_GB2312" w:cs="仿宋_GB2312" w:eastAsia="仿宋_GB2312"/>
              </w:rPr>
              <w:t>提供体检中心的布置图或其他材料，以证明医检分离或具有独立体检中心场地。 具有独立体检中心场地，得6分；医检分离得3分。未提供证明材料或医检不分离或没有独立体检中心场地的不得分。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体检设备情况</w:t>
            </w:r>
          </w:p>
        </w:tc>
        <w:tc>
          <w:tcPr>
            <w:tcW w:type="dxa" w:w="2492"/>
          </w:tcPr>
          <w:p>
            <w:pPr>
              <w:pStyle w:val="null3"/>
            </w:pPr>
            <w:r>
              <w:rPr>
                <w:rFonts w:ascii="仿宋_GB2312" w:hAnsi="仿宋_GB2312" w:cs="仿宋_GB2312" w:eastAsia="仿宋_GB2312"/>
              </w:rPr>
              <w:t>一、评审内容 提供体检设备情况：①医疗检测设备管理制度；②医疗检测设备投入方案；③医疗检测设备安全防护措施；④医疗检测设备操作规程。 二、评审标准 完整性：方案必须全面，对评审内容中的各项要求有详细描述；可实施性：切合本项目实际情况，提出步骤清晰、合理的方案；针对性：方案能够紧扣项目实际情况，内容科学合理。 三、赋分标准（满分12分） ①医疗检测设备管理制度：完全满足每个评审标准得1分，有瑕疵得0.5分，有缺陷得0分。满分3分。 ②医疗检测设备投入方案：完全满足每个评审标准得1分，有瑕疵得0.5分，有缺陷得0分。满分3分。 ③医疗检测设备安全防护措施：完全满足每个评审标准得1分，有瑕疵得0.5分，有缺陷得0分。满分3分。 ④医疗检测设备操作规程：完全满足每个评审标准得1分，有瑕疵得0.5分，有缺陷得0分。满分3分。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体检报告及隐私保护</w:t>
            </w:r>
          </w:p>
        </w:tc>
        <w:tc>
          <w:tcPr>
            <w:tcW w:type="dxa" w:w="2492"/>
          </w:tcPr>
          <w:p>
            <w:pPr>
              <w:pStyle w:val="null3"/>
            </w:pPr>
            <w:r>
              <w:rPr>
                <w:rFonts w:ascii="仿宋_GB2312" w:hAnsi="仿宋_GB2312" w:cs="仿宋_GB2312" w:eastAsia="仿宋_GB2312"/>
              </w:rPr>
              <w:t>一、评审内容 提供体检报告及隐私保护方案：①体检报告内容的完整性;②体检报告是否具有针对性的指导意见;③个人体检报告完成的时效性；④对检测结果保密承诺。 二、评审标准 完整性：方案必须全面，对评审内容中的各项要求有详细描述；可实施性：切合本项目实际情况，提出步骤清晰、合理的方案；针对性：方案能够紧扣项目实际情况，内容科学合理。 三、赋分标准（满分12分） ①接体检报告内容的完整性：完全满足每个评审标准得1分，有瑕疵得0.5分，有缺陷得0分。满分3分。 ②体检报告是否具有针对性的指导意见：完全满足每个评审标准得1分，有瑕疵得0.5分，有缺陷得0分。满分3分。 ③个人体检报告完成的时效性：完全满足每个评审标准得1分，有瑕疵得0.5分，有缺陷得0分。满分3分。 ④对检测结果保密承诺：完全满足每个评审标准得1分，有瑕疵得0.5分，有缺陷得0分。满分3分。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一、评审内容 提供应急事件响应及处理方案：①突发情况方案；②医疗事故方案；③应急处理措施；④预案实施与监督。 二、评审标准 完整性：方案必须全面，对评审内容中的各项要求有详细描述；可实施性：切合本项目实际情况，提出步骤清晰、合理的方案；针对性：方案能够紧扣项目实际情况，内容科学合理。 三、赋分标准（满分12分） ①突发情况方案：完全满足每个评审标准得1分，有瑕疵得0.5分，有缺陷得0分。满分3分。 ②医疗事故方案：完全满足每个评审标准得1分，有瑕疵得0.5分，有缺陷得0分。满分3分。 ③应急处理措施：完全满足每个评审标准得1分，有瑕疵得0.5分，有缺陷得0分。满分3分。 ④预案实施与监督 ：完全满足每个评审标准得1分，有瑕疵得0.5分，有缺陷得0分。满分3分。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根据投标人提供的针对本项目的增值服务进行评审，每提供一条合理、有针对性的增值服务的得1分，最多得2分。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信息化服务</w:t>
            </w:r>
          </w:p>
        </w:tc>
        <w:tc>
          <w:tcPr>
            <w:tcW w:type="dxa" w:w="2492"/>
          </w:tcPr>
          <w:p>
            <w:pPr>
              <w:pStyle w:val="null3"/>
            </w:pPr>
            <w:r>
              <w:rPr>
                <w:rFonts w:ascii="仿宋_GB2312" w:hAnsi="仿宋_GB2312" w:cs="仿宋_GB2312" w:eastAsia="仿宋_GB2312"/>
              </w:rPr>
              <w:t>能提供便捷的信息化服务，包括但不限于： 能提供网上体检预约平台。 具备全流程智能排队系统、智能导检系统及智能化管理服务。 为参检人员在线查询体检报告提供支持。 以上三项每满足一项得1分，最高得3分。（须提供相关证明材料，包括但不限于系统截图，否则不得分）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提供人员配置方案：①人员配置情况表及核心成员具备的同类项目服务经验（人员数量、经验、年龄等）；②各流程节点岗位职责划分及岗位管理机制。 二、评审标准 完整性：方案必须全面，对评审内容中的各项要求有详细描述；可实施性：切合本项目实际情况，提出步骤清晰、合理的方案；针对性：方案能够紧扣项目实际情况，内容科学合理。 三、赋分标准（满分6分） ①人员配置情况表及核心成员具备的同类项目服务经验：完全满足每个评审标准得1分，有瑕疵得0.5分，有缺陷得0分。满分3分。 ②各流程节点岗位职责划分及岗位管理机制：完全满足每个评审标准得1分，有瑕疵得0.5分，有缺陷得0分。满分3分。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供应商提供的医师团队名单中每有一位具有高级职称及以上的加0.5分，最多加3分； 评审依据：提供相应人员的最高职称证书复印件或扫描件，提供多个职称证明材料的，以最高职称材料为准，未提供的不得分。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供应商须提供2023年1月至今同类似目业绩，以合同签订日期为准，每提供一份得2分，满分10分（以加盖公章的合同复印件为准）。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其中：Pmin：所有有效磋商的最终最低报价。 Pn：第n个供应商的最终报价。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详见附件：商务及其他要求响应偏离表.docx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