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版本号：【KRDL】K1-260404820260428001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医用血管造影X射线系统维保</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【KRDL】K1-2604048</w:t>
      </w:r>
      <w:r>
        <w:br/>
      </w:r>
      <w:r>
        <w:br/>
      </w:r>
      <w:r>
        <w:br/>
      </w:r>
    </w:p>
    <w:p>
      <w:pPr>
        <w:pStyle w:val="null3"/>
        <w:jc w:val="center"/>
        <w:outlineLvl w:val="5"/>
      </w:pPr>
      <w:r>
        <w:rPr>
          <w:rFonts w:ascii="仿宋_GB2312" w:hAnsi="仿宋_GB2312" w:cs="仿宋_GB2312" w:eastAsia="仿宋_GB2312"/>
          <w:sz w:val="15"/>
          <w:b/>
        </w:rPr>
        <w:t>西安医学院第一附属医院</w:t>
      </w:r>
    </w:p>
    <w:p>
      <w:pPr>
        <w:pStyle w:val="null3"/>
        <w:jc w:val="center"/>
        <w:outlineLvl w:val="5"/>
      </w:pPr>
      <w:r>
        <w:rPr>
          <w:rFonts w:ascii="仿宋_GB2312" w:hAnsi="仿宋_GB2312" w:cs="仿宋_GB2312" w:eastAsia="仿宋_GB2312"/>
          <w:sz w:val="15"/>
          <w:b/>
        </w:rPr>
        <w:t>开瑞项目管理有限公司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医用血管造影X射线系统维保</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【KRDL】K1-2604048</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医用血管造影X射线系统维保</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为医用血管造影X射线系统维保期内的所有人工及整机所有备件（包括包含人工、保养、球管、探测器、高压发生器、病人床、工控机、电源箱、准直器、图像重建柜、图像存储器、工作站等原厂所有备件等）。具体内容详见“第三章 采购项目技术、服务、商务及其他要求”。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1、主体资格：供应商为向采购人提供服务的法人或其他组织；</w:t>
      </w:r>
    </w:p>
    <w:p>
      <w:pPr>
        <w:pStyle w:val="null3"/>
      </w:pPr>
      <w:r>
        <w:rPr>
          <w:rFonts w:ascii="仿宋_GB2312" w:hAnsi="仿宋_GB2312" w:cs="仿宋_GB2312" w:eastAsia="仿宋_GB2312"/>
        </w:rPr>
        <w:t>2、企业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3、资质证书：供应商须提供医疗器械经营许可证；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张千禧、王昭、姚瑶、刘昆、张晨、代光艳、王森、靳祥德、成荔、彭明杨、王莉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029-89569197、15686066050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采购包1：2,100,000.00元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代理服务费收费标准：参照国家计委颁发的《采购代理服务收费管理暂行办法》（计价格[2002]1980号）和办公厅颁发的《关于采购代理服务收费有关问题的通知》（发改办价格[2003] 857号）的有关规定标准，向采购代理机构一次付清代理服务费。 备注：供应商在缴纳服务费时请备注项目编号+采购代理服务费。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为医用血管造影X射线系统维保期内的所有人工及整机所有备件（包括包含人工、保养、球管、探测器、高压发生器、病人床、工控机、电源箱、准直器、图像重建柜、图像存储器、工作站等原厂所有备件等）。具体内容详见“第三章 采购项目技术、服务、商务及其他要求”。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2,100,000.00</w:t>
      </w:r>
    </w:p>
    <w:p>
      <w:pPr>
        <w:pStyle w:val="null3"/>
      </w:pPr>
      <w:r>
        <w:rPr>
          <w:rFonts w:ascii="仿宋_GB2312" w:hAnsi="仿宋_GB2312" w:cs="仿宋_GB2312" w:eastAsia="仿宋_GB2312"/>
        </w:rPr>
        <w:t>采购包最高限价（元）: 2,100,000.00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血管造影机维保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2,100,000.00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标的名称：血管造影机维保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一、设备维保范围和要求</w:t>
            </w:r>
          </w:p>
          <w:p>
            <w:pPr>
              <w:pStyle w:val="null3"/>
            </w:pPr>
            <w:r>
              <w:rPr>
                <w:rFonts w:ascii="仿宋_GB2312" w:hAnsi="仿宋_GB2312" w:cs="仿宋_GB2312" w:eastAsia="仿宋_GB2312"/>
              </w:rPr>
              <w:t>包含人工、保养、球管、探测器、高压发生器、病人床、工控机、电源箱、准直器、图像重建柜、图像存储器、工作站等原厂所有备件</w:t>
            </w:r>
          </w:p>
          <w:p>
            <w:pPr>
              <w:pStyle w:val="null3"/>
            </w:pPr>
            <w:r>
              <w:rPr>
                <w:rFonts w:ascii="仿宋_GB2312" w:hAnsi="仿宋_GB2312" w:cs="仿宋_GB2312" w:eastAsia="仿宋_GB2312"/>
              </w:rPr>
              <w:t>二、保修年限</w:t>
            </w:r>
          </w:p>
          <w:p>
            <w:pPr>
              <w:pStyle w:val="null3"/>
            </w:pPr>
            <w:r>
              <w:rPr>
                <w:rFonts w:ascii="仿宋_GB2312" w:hAnsi="仿宋_GB2312" w:cs="仿宋_GB2312" w:eastAsia="仿宋_GB2312"/>
              </w:rPr>
              <w:t>3年</w:t>
            </w:r>
          </w:p>
          <w:p>
            <w:pPr>
              <w:pStyle w:val="null3"/>
            </w:pPr>
            <w:r>
              <w:rPr>
                <w:rFonts w:ascii="仿宋_GB2312" w:hAnsi="仿宋_GB2312" w:cs="仿宋_GB2312" w:eastAsia="仿宋_GB2312"/>
              </w:rPr>
              <w:t>三、服务内容与具体要求</w:t>
            </w:r>
          </w:p>
          <w:p>
            <w:pPr>
              <w:pStyle w:val="null3"/>
            </w:pPr>
            <w:r>
              <w:rPr>
                <w:rFonts w:ascii="仿宋_GB2312" w:hAnsi="仿宋_GB2312" w:cs="仿宋_GB2312" w:eastAsia="仿宋_GB2312"/>
              </w:rPr>
              <w:t>1.人工技术服务</w:t>
            </w:r>
          </w:p>
          <w:p>
            <w:pPr>
              <w:pStyle w:val="null3"/>
            </w:pPr>
            <w:r>
              <w:rPr>
                <w:rFonts w:ascii="仿宋_GB2312" w:hAnsi="仿宋_GB2312" w:cs="仿宋_GB2312" w:eastAsia="仿宋_GB2312"/>
              </w:rPr>
              <w:t>（1）响应时效：服务期内，接到医院设备故障报修通知后，投标人须在2小时内响应，提供远程指导或故障初步判断。</w:t>
            </w:r>
          </w:p>
          <w:p>
            <w:pPr>
              <w:pStyle w:val="null3"/>
            </w:pPr>
            <w:r>
              <w:rPr>
                <w:rFonts w:ascii="仿宋_GB2312" w:hAnsi="仿宋_GB2312" w:cs="仿宋_GB2312" w:eastAsia="仿宋_GB2312"/>
              </w:rPr>
              <w:t>（2）现场到达：若需现场处理，工程师须在 24 小时内到达设备使用现场（不可抗力因素除外，如自然灾害、极端天气等，但需提供相关证明），并立即开展维修工作。维修完成后，按要求做好验收和维修记录工作。</w:t>
            </w:r>
          </w:p>
          <w:p>
            <w:pPr>
              <w:pStyle w:val="null3"/>
            </w:pPr>
            <w:r>
              <w:rPr>
                <w:rFonts w:ascii="仿宋_GB2312" w:hAnsi="仿宋_GB2312" w:cs="仿宋_GB2312" w:eastAsia="仿宋_GB2312"/>
              </w:rPr>
              <w:t>2.备件供应</w:t>
            </w:r>
          </w:p>
          <w:p>
            <w:pPr>
              <w:pStyle w:val="null3"/>
            </w:pPr>
            <w:r>
              <w:rPr>
                <w:rFonts w:ascii="仿宋_GB2312" w:hAnsi="仿宋_GB2312" w:cs="仿宋_GB2312" w:eastAsia="仿宋_GB2312"/>
              </w:rPr>
              <w:t>（1）备件范围：提供设备故障维修所需更换的全部原厂配件，包括但不限于球管、高压油箱、平板探测器等核心部件（不包含其他厂家产品及其劳务、再安装及所需备品备件）。</w:t>
            </w:r>
          </w:p>
          <w:p>
            <w:pPr>
              <w:pStyle w:val="null3"/>
            </w:pPr>
            <w:r>
              <w:rPr>
                <w:rFonts w:ascii="仿宋_GB2312" w:hAnsi="仿宋_GB2312" w:cs="仿宋_GB2312" w:eastAsia="仿宋_GB2312"/>
              </w:rPr>
              <w:t>（1）备件来源：所有维修备件必须为原厂原包装、原厂测试合格的全新备件。投标人须提供备件渠道来源证明文件（如原厂授权函、采购合同、报关单等），并确保备件可追溯。3.预防性保养</w:t>
            </w:r>
          </w:p>
          <w:p>
            <w:pPr>
              <w:pStyle w:val="null3"/>
            </w:pPr>
            <w:r>
              <w:rPr>
                <w:rFonts w:ascii="仿宋_GB2312" w:hAnsi="仿宋_GB2312" w:cs="仿宋_GB2312" w:eastAsia="仿宋_GB2312"/>
              </w:rPr>
              <w:t>（1）保养频次：合同年度内提供 2次常规预防性保养，原则上每半年一次（具体时间可协商安排），完成后及时向医院相关部门提供预防性维护保养记录。</w:t>
            </w:r>
          </w:p>
          <w:p>
            <w:pPr>
              <w:pStyle w:val="null3"/>
            </w:pPr>
            <w:r>
              <w:rPr>
                <w:rFonts w:ascii="仿宋_GB2312" w:hAnsi="仿宋_GB2312" w:cs="仿宋_GB2312" w:eastAsia="仿宋_GB2312"/>
              </w:rPr>
              <w:t>（2）保养内容：包括但不限于设备清洁、机械/电气安全检查、性能测试及校准、必要的软件检查、优化并免费升级，确保设备处于最佳工作状态。</w:t>
            </w:r>
          </w:p>
          <w:p>
            <w:pPr>
              <w:pStyle w:val="null3"/>
            </w:pPr>
            <w:r>
              <w:rPr>
                <w:rFonts w:ascii="仿宋_GB2312" w:hAnsi="仿宋_GB2312" w:cs="仿宋_GB2312" w:eastAsia="仿宋_GB2312"/>
              </w:rPr>
              <w:t xml:space="preserve"> 4.安全检查与质量保证</w:t>
            </w:r>
          </w:p>
          <w:p>
            <w:pPr>
              <w:pStyle w:val="null3"/>
            </w:pPr>
            <w:r>
              <w:rPr>
                <w:rFonts w:ascii="仿宋_GB2312" w:hAnsi="仿宋_GB2312" w:cs="仿宋_GB2312" w:eastAsia="仿宋_GB2312"/>
              </w:rPr>
              <w:t>（1）安全检查：具备关键部件（如球管、高压发生器等）更换后进行接地、漏电等安全检测的能力，并提供相应设备工具检测报告。</w:t>
            </w:r>
          </w:p>
          <w:p>
            <w:pPr>
              <w:pStyle w:val="null3"/>
            </w:pPr>
            <w:r>
              <w:rPr>
                <w:rFonts w:ascii="仿宋_GB2312" w:hAnsi="仿宋_GB2312" w:cs="仿宋_GB2312" w:eastAsia="仿宋_GB2312"/>
              </w:rPr>
              <w:t>（2）质量保证：所有维护、保养及维修服务均须按照设备原厂技术要求执行，定期进行性能检测与校准，确保图像质量、辐射剂量等符合国家标准及原厂标准。</w:t>
            </w:r>
          </w:p>
          <w:p>
            <w:pPr>
              <w:pStyle w:val="null3"/>
            </w:pPr>
            <w:r>
              <w:rPr>
                <w:rFonts w:ascii="仿宋_GB2312" w:hAnsi="仿宋_GB2312" w:cs="仿宋_GB2312" w:eastAsia="仿宋_GB2312"/>
              </w:rPr>
              <w:t xml:space="preserve"> 5.技术支持与远程服务</w:t>
            </w:r>
          </w:p>
          <w:p>
            <w:pPr>
              <w:pStyle w:val="null3"/>
            </w:pPr>
            <w:r>
              <w:rPr>
                <w:rFonts w:ascii="仿宋_GB2312" w:hAnsi="仿宋_GB2312" w:cs="仿宋_GB2312" w:eastAsia="仿宋_GB2312"/>
              </w:rPr>
              <w:t>（1）全天候技术支持：提供全天 24 小时不间断电话/网络技术支持服务，随时解答我院技术人员的问题。</w:t>
            </w:r>
          </w:p>
          <w:p>
            <w:pPr>
              <w:pStyle w:val="null3"/>
            </w:pPr>
            <w:r>
              <w:rPr>
                <w:rFonts w:ascii="仿宋_GB2312" w:hAnsi="仿宋_GB2312" w:cs="仿宋_GB2312" w:eastAsia="仿宋_GB2312"/>
              </w:rPr>
              <w:t>（2）远程服务：具备通过互联网连接提供在线远程应用支持的能力，能够快速同步原厂最新软件升级包，提高设备性能及运行稳定性。投标人须提供远程服务的安全性认证证书及相关说明。</w:t>
            </w:r>
          </w:p>
          <w:p>
            <w:pPr>
              <w:pStyle w:val="null3"/>
            </w:pPr>
            <w:r>
              <w:rPr>
                <w:rFonts w:ascii="仿宋_GB2312" w:hAnsi="仿宋_GB2312" w:cs="仿宋_GB2312" w:eastAsia="仿宋_GB2312"/>
              </w:rPr>
              <w:t>（3）远程诊断：须在国内建有成熟的远程网络维修诊断系统，并提供该系统地址及接入方式，便于我院设备在授权情况下接受远程故障诊断与排查。</w:t>
            </w:r>
          </w:p>
          <w:p>
            <w:pPr>
              <w:pStyle w:val="null3"/>
            </w:pPr>
            <w:r>
              <w:rPr>
                <w:rFonts w:ascii="仿宋_GB2312" w:hAnsi="仿宋_GB2312" w:cs="仿宋_GB2312" w:eastAsia="仿宋_GB2312"/>
              </w:rPr>
              <w:t xml:space="preserve"> 6.服务报告</w:t>
            </w:r>
          </w:p>
          <w:p>
            <w:pPr>
              <w:pStyle w:val="null3"/>
            </w:pPr>
            <w:r>
              <w:rPr>
                <w:rFonts w:ascii="仿宋_GB2312" w:hAnsi="仿宋_GB2312" w:cs="仿宋_GB2312" w:eastAsia="仿宋_GB2312"/>
              </w:rPr>
              <w:t>（1）服务期满后，投标人须提供详细的服务总结报告，内容应涵盖：</w:t>
            </w:r>
          </w:p>
          <w:p>
            <w:pPr>
              <w:pStyle w:val="null3"/>
            </w:pPr>
            <w:r>
              <w:rPr>
                <w:rFonts w:ascii="仿宋_GB2312" w:hAnsi="仿宋_GB2312" w:cs="仿宋_GB2312" w:eastAsia="仿宋_GB2312"/>
              </w:rPr>
              <w:t>（2）设备运行状况综合评估；</w:t>
            </w:r>
          </w:p>
          <w:p>
            <w:pPr>
              <w:pStyle w:val="null3"/>
            </w:pPr>
            <w:r>
              <w:rPr>
                <w:rFonts w:ascii="仿宋_GB2312" w:hAnsi="仿宋_GB2312" w:cs="仿宋_GB2312" w:eastAsia="仿宋_GB2312"/>
              </w:rPr>
              <w:t>（3）全年维修服务记录（含故障原因、处理过程、更换配件等）；</w:t>
            </w:r>
          </w:p>
          <w:p>
            <w:pPr>
              <w:pStyle w:val="null3"/>
            </w:pPr>
            <w:r>
              <w:rPr>
                <w:rFonts w:ascii="仿宋_GB2312" w:hAnsi="仿宋_GB2312" w:cs="仿宋_GB2312" w:eastAsia="仿宋_GB2312"/>
              </w:rPr>
              <w:t>（4）预防性保养服务记录；</w:t>
            </w:r>
          </w:p>
          <w:p>
            <w:pPr>
              <w:pStyle w:val="null3"/>
            </w:pPr>
            <w:r>
              <w:rPr>
                <w:rFonts w:ascii="仿宋_GB2312" w:hAnsi="仿宋_GB2312" w:cs="仿宋_GB2312" w:eastAsia="仿宋_GB2312"/>
              </w:rPr>
              <w:t>（5）图像质量检查与性能测试报告。</w:t>
            </w:r>
          </w:p>
          <w:p>
            <w:pPr>
              <w:pStyle w:val="null3"/>
            </w:pPr>
            <w:r>
              <w:rPr>
                <w:rFonts w:ascii="仿宋_GB2312" w:hAnsi="仿宋_GB2312" w:cs="仿宋_GB2312" w:eastAsia="仿宋_GB2312"/>
              </w:rPr>
              <w:t>7.工程师资质要求</w:t>
            </w:r>
          </w:p>
          <w:p>
            <w:pPr>
              <w:pStyle w:val="null3"/>
            </w:pPr>
            <w:r>
              <w:rPr>
                <w:rFonts w:ascii="仿宋_GB2312" w:hAnsi="仿宋_GB2312" w:cs="仿宋_GB2312" w:eastAsia="仿宋_GB2312"/>
              </w:rPr>
              <w:t>（1）现场工程师：指派至我院提供现场服务的工程师，必须经过原厂针对同型号设备的维修培训，并持有原厂颁发的培训证书。同时须提供该工程师在陕西省内的社保缴纳证明及在职证明（加盖投标人公章）。（2） 临床应用培训：投标人需具备临床应用培训能力，可提供临床应用工程师（需具备相应资质)为我院医技人员提供设备操作、图像优化、临床应用技巧等培训。临床应用工程师须提供培训证书、陕西省内社保证明及在职证明。</w:t>
            </w:r>
          </w:p>
          <w:p>
            <w:pPr>
              <w:pStyle w:val="null3"/>
            </w:pPr>
            <w:r>
              <w:rPr>
                <w:rFonts w:ascii="仿宋_GB2312" w:hAnsi="仿宋_GB2312" w:cs="仿宋_GB2312" w:eastAsia="仿宋_GB2312"/>
              </w:rPr>
              <w:t xml:space="preserve"> 8.开机率保障</w:t>
            </w:r>
          </w:p>
          <w:p>
            <w:pPr>
              <w:pStyle w:val="null3"/>
            </w:pPr>
            <w:r>
              <w:rPr>
                <w:rFonts w:ascii="仿宋_GB2312" w:hAnsi="仿宋_GB2312" w:cs="仿宋_GB2312" w:eastAsia="仿宋_GB2312"/>
              </w:rPr>
              <w:t>（1）开机率承诺：服务期内，设备开机率保证295%（开机率计算方式：全年 365 天×95%=347天，即全年非计划性停机时间不超过18天)。</w:t>
            </w:r>
          </w:p>
          <w:p>
            <w:pPr>
              <w:pStyle w:val="null3"/>
            </w:pPr>
            <w:r>
              <w:rPr>
                <w:rFonts w:ascii="仿宋_GB2312" w:hAnsi="仿宋_GB2312" w:cs="仿宋_GB2312" w:eastAsia="仿宋_GB2312"/>
              </w:rPr>
              <w:t>（2）违约处理：若因投标人原因导致开机率未达标，每低于 1%则按合同金额相应比例扣减服务费或延长服务期，具体在合同中约定。</w:t>
            </w:r>
          </w:p>
          <w:p>
            <w:pPr>
              <w:pStyle w:val="null3"/>
            </w:pPr>
            <w:r>
              <w:rPr>
                <w:rFonts w:ascii="仿宋_GB2312" w:hAnsi="仿宋_GB2312" w:cs="仿宋_GB2312" w:eastAsia="仿宋_GB2312"/>
              </w:rPr>
              <w:t xml:space="preserve"> 9.核心备件能力证明</w:t>
            </w:r>
          </w:p>
          <w:p>
            <w:pPr>
              <w:pStyle w:val="null3"/>
            </w:pPr>
            <w:r>
              <w:rPr>
                <w:rFonts w:ascii="仿宋_GB2312" w:hAnsi="仿宋_GB2312" w:cs="仿宋_GB2312" w:eastAsia="仿宋_GB2312"/>
              </w:rPr>
              <w:t>球管供应能力：投标人须具备提供原厂同型号球管的能力，并提供所投球管的医疗器械注册证等相关证明文件，确保球管合法、合规且可溯源。</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合同签订完成后，服务一年后开始支付费用，支付合同总价的33.3%</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合同签订完成后，服务两年后开始支付费用，支付合同总价的33.3%</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合同签订完成后，服务三年后开始支付费用，支付合同总价的33.4%</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33.40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成交供应商按采购人要求完成服务内容并达到采购人相关要求，质量按本单一来源采购文件的服务内容验收。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按照国家标准、单一来源采购文件、响应文件和合同要求执行。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1.本项目预算金额为三年预算。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会计师事务所出具的完整的2024年度或2025年度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供应商须提供医疗器械经营许可证；</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 xml:space="preserve"> 本项目不专门面向中小企业采购。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供应商完全响应本项目采购文件实质性条款；</w:t>
            </w:r>
          </w:p>
        </w:tc>
        <w:tc>
          <w:tcPr>
            <w:tcW w:type="dxa" w:w="1661"/>
          </w:tcPr>
          <w:p>
            <w:pPr>
              <w:pStyle w:val="null3"/>
            </w:pPr>
            <w:r>
              <w:rPr>
                <w:rFonts w:ascii="仿宋_GB2312" w:hAnsi="仿宋_GB2312" w:cs="仿宋_GB2312" w:eastAsia="仿宋_GB2312"/>
              </w:rPr>
              <w:t>响应文件封面 分项报价清单.docx 标的清单 商务应答表.docx 实施方案.docx 服务内容及服务邀请应答表.docx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实施方案.docx 商务应答表.docx 服务内容及服务邀请应答表.docx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不存在采购文件或法律法规规定的无效情形；</w:t>
            </w:r>
          </w:p>
        </w:tc>
        <w:tc>
          <w:tcPr>
            <w:tcW w:type="dxa" w:w="1661"/>
          </w:tcPr>
          <w:p>
            <w:pPr>
              <w:pStyle w:val="null3"/>
            </w:pPr>
            <w:r>
              <w:rPr>
                <w:rFonts w:ascii="仿宋_GB2312" w:hAnsi="仿宋_GB2312" w:cs="仿宋_GB2312" w:eastAsia="仿宋_GB2312"/>
              </w:rPr>
              <w:t>商务应答表.docx 实施方案.docx 服务内容及服务邀请应答表.docx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供应商的响应报价是否超过采购预算或单一来源采购文件中列明的最高限价</w:t>
            </w:r>
          </w:p>
        </w:tc>
        <w:tc>
          <w:tcPr>
            <w:tcW w:type="dxa" w:w="3322"/>
          </w:tcPr>
          <w:p>
            <w:pPr>
              <w:pStyle w:val="null3"/>
            </w:pPr>
            <w:r>
              <w:rPr>
                <w:rFonts w:ascii="仿宋_GB2312" w:hAnsi="仿宋_GB2312" w:cs="仿宋_GB2312" w:eastAsia="仿宋_GB2312"/>
              </w:rPr>
              <w:t>供应商的响应报价未超过采购预算或单一来源采购文件中列明的最高限价。</w:t>
            </w:r>
          </w:p>
        </w:tc>
        <w:tc>
          <w:tcPr>
            <w:tcW w:type="dxa" w:w="1661"/>
          </w:tcPr>
          <w:p>
            <w:pPr>
              <w:pStyle w:val="null3"/>
            </w:pPr>
            <w:r>
              <w:rPr>
                <w:rFonts w:ascii="仿宋_GB2312" w:hAnsi="仿宋_GB2312" w:cs="仿宋_GB2312" w:eastAsia="仿宋_GB2312"/>
              </w:rPr>
              <w:t>分项报价清单.docx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供应商针对本项目提供服务方案</w:t>
            </w:r>
          </w:p>
        </w:tc>
        <w:tc>
          <w:tcPr>
            <w:tcW w:type="dxa" w:w="3322"/>
          </w:tcPr>
          <w:p>
            <w:pPr>
              <w:pStyle w:val="null3"/>
            </w:pPr>
            <w:r>
              <w:rPr>
                <w:rFonts w:ascii="仿宋_GB2312" w:hAnsi="仿宋_GB2312" w:cs="仿宋_GB2312" w:eastAsia="仿宋_GB2312"/>
              </w:rPr>
              <w:t>供应商提供针对本项目提供服务方案</w:t>
            </w:r>
          </w:p>
        </w:tc>
        <w:tc>
          <w:tcPr>
            <w:tcW w:type="dxa" w:w="1661"/>
          </w:tcPr>
          <w:p>
            <w:pPr>
              <w:pStyle w:val="null3"/>
            </w:pPr>
            <w:r>
              <w:rPr>
                <w:rFonts w:ascii="仿宋_GB2312" w:hAnsi="仿宋_GB2312" w:cs="仿宋_GB2312" w:eastAsia="仿宋_GB2312"/>
              </w:rPr>
              <w:t>分项报价清单.docx 实施方案.docx 商务应答表.docx 服务内容及服务邀请应答表.docx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投标授权代表</w:t>
            </w:r>
          </w:p>
        </w:tc>
        <w:tc>
          <w:tcPr>
            <w:tcW w:type="dxa" w:w="3322"/>
          </w:tcPr>
          <w:p>
            <w:pPr>
              <w:pStyle w:val="null3"/>
            </w:pPr>
            <w:r>
              <w:rPr>
                <w:rFonts w:ascii="仿宋_GB2312" w:hAnsi="仿宋_GB2312" w:cs="仿宋_GB2312" w:eastAsia="仿宋_GB2312"/>
              </w:rPr>
              <w:t>法定代表人或合法授权代表证明：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详见附件：供应商应提交的相关资格证明文件.docx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详见附件：分项报价清单.docx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