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版本号：KY2026-1-33620260428001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电视台宣传服务项目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KY2026-1-336</w:t>
      </w:r>
      <w:r>
        <w:br/>
      </w:r>
      <w:r>
        <w:br/>
      </w:r>
      <w:r>
        <w:br/>
      </w:r>
    </w:p>
    <w:p>
      <w:pPr>
        <w:pStyle w:val="null3"/>
        <w:jc w:val="center"/>
        <w:outlineLvl w:val="5"/>
      </w:pPr>
      <w:r>
        <w:rPr>
          <w:rFonts w:ascii="仿宋_GB2312" w:hAnsi="仿宋_GB2312" w:cs="仿宋_GB2312" w:eastAsia="仿宋_GB2312"/>
          <w:sz w:val="15"/>
          <w:b/>
        </w:rPr>
        <w:t>陕西省市场监督管理局</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电视台宣传服务项目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KY2026-1-336</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电视台宣传服务项目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陕西省市场监督管理局电视台宣传服务项目，具体内容详见单一来源采购文件第三章。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或专业担保机构出具的投标担保函（以上三种形式的资料提供任何一种即可）。</w:t>
      </w:r>
    </w:p>
    <w:p>
      <w:pPr>
        <w:pStyle w:val="null3"/>
      </w:pPr>
      <w:r>
        <w:rPr>
          <w:rFonts w:ascii="仿宋_GB2312" w:hAnsi="仿宋_GB2312" w:cs="仿宋_GB2312" w:eastAsia="仿宋_GB2312"/>
        </w:rPr>
        <w:t>3、税收缴纳证明：提供2025年4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029-86138565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银行账号：86113010750181502001102</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执行，不足陆仟元按陆仟元收取。 2、本项目代理服务费按服务计取。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陕西省市场监督管理局电视台宣传服务项目，1项，具体内容详见采购需求。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省市场监管局电视台宣传服务项目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标的名称：省市场监管局电视台宣传服务项目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55"/>
            </w:tblGrid>
            <w:tr>
              <w:tc>
                <w:tcPr>
                  <w:tcW w:type="dxa" w:w="245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30"/>
                      <w:b/>
                    </w:rPr>
                    <w:t>采购需求</w:t>
                  </w:r>
                </w:p>
                <w:p>
                  <w:pPr>
                    <w:pStyle w:val="null3"/>
                    <w:jc w:val="both"/>
                  </w:pPr>
                  <w:r>
                    <w:rPr>
                      <w:rFonts w:ascii="仿宋_GB2312" w:hAnsi="仿宋_GB2312" w:cs="仿宋_GB2312" w:eastAsia="仿宋_GB2312"/>
                      <w:sz w:val="28"/>
                      <w:b/>
                    </w:rPr>
                    <w:t>（一）项目概况</w:t>
                  </w:r>
                </w:p>
                <w:p>
                  <w:pPr>
                    <w:pStyle w:val="null3"/>
                    <w:ind w:firstLine="480"/>
                    <w:jc w:val="both"/>
                  </w:pPr>
                  <w:r>
                    <w:rPr>
                      <w:rFonts w:ascii="仿宋_GB2312" w:hAnsi="仿宋_GB2312" w:cs="仿宋_GB2312" w:eastAsia="仿宋_GB2312"/>
                      <w:sz w:val="24"/>
                      <w:color w:val="000000"/>
                    </w:rPr>
                    <w:t>1.项目需求</w:t>
                  </w:r>
                </w:p>
                <w:p>
                  <w:pPr>
                    <w:pStyle w:val="null3"/>
                    <w:ind w:firstLine="480"/>
                    <w:jc w:val="both"/>
                  </w:pPr>
                  <w:r>
                    <w:rPr>
                      <w:rFonts w:ascii="仿宋_GB2312" w:hAnsi="仿宋_GB2312" w:cs="仿宋_GB2312" w:eastAsia="仿宋_GB2312"/>
                      <w:sz w:val="24"/>
                      <w:color w:val="000000"/>
                    </w:rPr>
                    <w:t>本项目核心需求为：依托权威媒体平台和专业的宣传团队，对省市场监管局全省综合性活动、质量安全监督、监管新规推广、民生服务保障等重大工作事项，开展实时、跨平台、全方位的宣传播报，全面提升市场监管工作的知晓度、覆盖面和影响力。</w:t>
                  </w:r>
                </w:p>
                <w:p>
                  <w:pPr>
                    <w:pStyle w:val="null3"/>
                    <w:ind w:firstLine="480"/>
                    <w:jc w:val="both"/>
                  </w:pPr>
                  <w:r>
                    <w:rPr>
                      <w:rFonts w:ascii="仿宋_GB2312" w:hAnsi="仿宋_GB2312" w:cs="仿宋_GB2312" w:eastAsia="仿宋_GB2312"/>
                      <w:sz w:val="24"/>
                      <w:color w:val="000000"/>
                    </w:rPr>
                    <w:t>2.项目实施周期</w:t>
                  </w:r>
                </w:p>
                <w:p>
                  <w:pPr>
                    <w:pStyle w:val="null3"/>
                    <w:ind w:firstLine="480"/>
                    <w:jc w:val="both"/>
                  </w:pPr>
                  <w:r>
                    <w:rPr>
                      <w:rFonts w:ascii="仿宋_GB2312" w:hAnsi="仿宋_GB2312" w:cs="仿宋_GB2312" w:eastAsia="仿宋_GB2312"/>
                      <w:sz w:val="24"/>
                      <w:color w:val="000000"/>
                    </w:rPr>
                    <w:t>一年</w:t>
                  </w:r>
                </w:p>
                <w:p>
                  <w:pPr>
                    <w:pStyle w:val="null3"/>
                    <w:ind w:firstLine="480"/>
                    <w:jc w:val="both"/>
                  </w:pPr>
                  <w:r>
                    <w:rPr>
                      <w:rFonts w:ascii="仿宋_GB2312" w:hAnsi="仿宋_GB2312" w:cs="仿宋_GB2312" w:eastAsia="仿宋_GB2312"/>
                      <w:sz w:val="24"/>
                      <w:color w:val="000000"/>
                    </w:rPr>
                    <w:t>3.项目规划及技术参数</w:t>
                  </w:r>
                </w:p>
                <w:tbl>
                  <w:tblPr>
                    <w:tblBorders>
                      <w:top w:val="none" w:color="000000" w:sz="4"/>
                      <w:left w:val="none" w:color="000000" w:sz="4"/>
                      <w:bottom w:val="none" w:color="000000" w:sz="4"/>
                      <w:right w:val="none" w:color="000000" w:sz="4"/>
                      <w:insideH w:val="none"/>
                      <w:insideV w:val="none"/>
                    </w:tblBorders>
                  </w:tblPr>
                  <w:tblGrid>
                    <w:gridCol w:w="316"/>
                    <w:gridCol w:w="969"/>
                    <w:gridCol w:w="396"/>
                    <w:gridCol w:w="225"/>
                    <w:gridCol w:w="332"/>
                  </w:tblGrid>
                  <w:tr>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合作产品</w:t>
                        </w:r>
                      </w:p>
                    </w:tc>
                    <w:tc>
                      <w:tcPr>
                        <w:tcW w:type="dxa" w:w="9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内容</w:t>
                        </w:r>
                      </w:p>
                    </w:tc>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段位</w:t>
                        </w:r>
                      </w:p>
                    </w:tc>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频次</w:t>
                        </w:r>
                        <w:r>
                          <w:rPr>
                            <w:rFonts w:ascii="仿宋_GB2312" w:hAnsi="仿宋_GB2312" w:cs="仿宋_GB2312" w:eastAsia="仿宋_GB2312"/>
                            <w:sz w:val="22"/>
                            <w:b/>
                            <w:color w:val="000000"/>
                          </w:rPr>
                          <w:t>/周期</w:t>
                        </w:r>
                      </w:p>
                    </w:tc>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播出形式</w:t>
                        </w:r>
                        <w:r>
                          <w:rPr>
                            <w:rFonts w:ascii="仿宋_GB2312" w:hAnsi="仿宋_GB2312" w:cs="仿宋_GB2312" w:eastAsia="仿宋_GB2312"/>
                            <w:sz w:val="22"/>
                            <w:b/>
                            <w:color w:val="000000"/>
                          </w:rPr>
                          <w:t>/时长</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重点发布（新闻资讯）</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安排专人跑口，对市场监管重要活动、重大事件、典型案例等内容，利用融媒体资源，开展系列报道，加大宣传力度。</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《都市快报》</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23条</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1-2mim</w:t>
                        </w:r>
                      </w:p>
                    </w:tc>
                  </w:tr>
                  <w:tr>
                    <w:tc>
                      <w:tcPr>
                        <w:tcW w:type="dxa" w:w="3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专题节目</w:t>
                        </w:r>
                        <w:r>
                          <w:rPr>
                            <w:rFonts w:ascii="仿宋_GB2312" w:hAnsi="仿宋_GB2312" w:cs="仿宋_GB2312" w:eastAsia="仿宋_GB2312"/>
                            <w:sz w:val="22"/>
                            <w:color w:val="000000"/>
                          </w:rPr>
                          <w:t>《市场监管进行时》</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根据市场监管工作的各个重要时间节点，例如质量月、食品安全宣传周、世界标准日等，围绕产品质量、食品安全、特种设备安全等主题，集中展示工作成效，强化舆论引导。</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《都市热线》</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r>
                          <w:rPr>
                            <w:rFonts w:ascii="仿宋_GB2312" w:hAnsi="仿宋_GB2312" w:cs="仿宋_GB2312" w:eastAsia="仿宋_GB2312"/>
                            <w:sz w:val="22"/>
                            <w:color w:val="000000"/>
                          </w:rPr>
                          <w:t>期</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r>
                          <w:rPr>
                            <w:rFonts w:ascii="仿宋_GB2312" w:hAnsi="仿宋_GB2312" w:cs="仿宋_GB2312" w:eastAsia="仿宋_GB2312"/>
                            <w:sz w:val="22"/>
                            <w:color w:val="000000"/>
                          </w:rPr>
                          <w:t>min</w:t>
                        </w:r>
                      </w:p>
                    </w:tc>
                  </w:tr>
                  <w:tr>
                    <w:tc>
                      <w:tcPr>
                        <w:tcW w:type="dxa" w:w="316"/>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根据节目中亮点内容，拆条分发短视频。</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《都市快报》视频号或抖音号</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r>
                          <w:rPr>
                            <w:rFonts w:ascii="仿宋_GB2312" w:hAnsi="仿宋_GB2312" w:cs="仿宋_GB2312" w:eastAsia="仿宋_GB2312"/>
                            <w:sz w:val="22"/>
                            <w:color w:val="000000"/>
                          </w:rPr>
                          <w:t>条</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1min</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短视频</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用</w:t>
                        </w:r>
                        <w:r>
                          <w:rPr>
                            <w:rFonts w:ascii="仿宋_GB2312" w:hAnsi="仿宋_GB2312" w:cs="仿宋_GB2312" w:eastAsia="仿宋_GB2312"/>
                            <w:sz w:val="22"/>
                            <w:color w:val="000000"/>
                          </w:rPr>
                          <w:t>1分钟左右情景短剧，结合网络热梗，趣味解读市场监管领域政策法规、典型案例等，让政策解读、普法宣传、科普知识更好玩有料。</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《都市快报》视频号或抖音号</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15条</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1min</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AI小短剧               《督督侠小课堂》</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以《督督侠小课堂》打造督督侠</w:t>
                        </w:r>
                        <w:r>
                          <w:rPr>
                            <w:rFonts w:ascii="仿宋_GB2312" w:hAnsi="仿宋_GB2312" w:cs="仿宋_GB2312" w:eastAsia="仿宋_GB2312"/>
                            <w:sz w:val="22"/>
                            <w:color w:val="000000"/>
                          </w:rPr>
                          <w:t>IP,制作AI小短剧，内容包括政策解读、消费维权提示等。</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《都市快报》视频号或抖音号</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12条</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1-2min</w:t>
                        </w:r>
                      </w:p>
                    </w:tc>
                  </w:tr>
                </w:tbl>
                <w:p>
                  <w:pPr>
                    <w:pStyle w:val="null3"/>
                    <w:jc w:val="both"/>
                  </w:pPr>
                  <w:r>
                    <w:rPr>
                      <w:rFonts w:ascii="仿宋_GB2312" w:hAnsi="仿宋_GB2312" w:cs="仿宋_GB2312" w:eastAsia="仿宋_GB2312"/>
                      <w:sz w:val="28"/>
                      <w:b/>
                      <w:color w:val="000000"/>
                    </w:rPr>
                    <w:t>（二）服务保障</w:t>
                  </w:r>
                </w:p>
                <w:p>
                  <w:pPr>
                    <w:pStyle w:val="null3"/>
                    <w:ind w:firstLine="480"/>
                    <w:jc w:val="both"/>
                  </w:pPr>
                  <w:r>
                    <w:rPr>
                      <w:rFonts w:ascii="仿宋_GB2312" w:hAnsi="仿宋_GB2312" w:cs="仿宋_GB2312" w:eastAsia="仿宋_GB2312"/>
                      <w:sz w:val="24"/>
                      <w:color w:val="000000"/>
                    </w:rPr>
                    <w:t>1.人员保障</w:t>
                  </w:r>
                </w:p>
                <w:p>
                  <w:pPr>
                    <w:pStyle w:val="null3"/>
                    <w:ind w:firstLine="480"/>
                    <w:jc w:val="both"/>
                  </w:pPr>
                  <w:r>
                    <w:rPr>
                      <w:rFonts w:ascii="仿宋_GB2312" w:hAnsi="仿宋_GB2312" w:cs="仿宋_GB2312" w:eastAsia="仿宋_GB2312"/>
                      <w:sz w:val="24"/>
                      <w:color w:val="000000"/>
                    </w:rPr>
                    <w:t>成立不少于</w:t>
                  </w:r>
                  <w:r>
                    <w:rPr>
                      <w:rFonts w:ascii="仿宋_GB2312" w:hAnsi="仿宋_GB2312" w:cs="仿宋_GB2312" w:eastAsia="仿宋_GB2312"/>
                      <w:sz w:val="24"/>
                      <w:color w:val="000000"/>
                    </w:rPr>
                    <w:t>5人的专项服务团队，包括1名项目负责人、1名跑口记者、2名编导、1名后期制作。项目负责人须具备3年以上省级电视台项目管理经验。</w:t>
                  </w:r>
                </w:p>
                <w:p>
                  <w:pPr>
                    <w:pStyle w:val="null3"/>
                    <w:ind w:firstLine="480"/>
                    <w:jc w:val="both"/>
                  </w:pPr>
                  <w:r>
                    <w:rPr>
                      <w:rFonts w:ascii="仿宋_GB2312" w:hAnsi="仿宋_GB2312" w:cs="仿宋_GB2312" w:eastAsia="仿宋_GB2312"/>
                      <w:sz w:val="24"/>
                      <w:color w:val="000000"/>
                    </w:rPr>
                    <w:t>2.质量保障</w:t>
                  </w:r>
                </w:p>
                <w:p>
                  <w:pPr>
                    <w:pStyle w:val="null3"/>
                    <w:ind w:firstLine="480"/>
                    <w:jc w:val="both"/>
                  </w:pPr>
                  <w:r>
                    <w:rPr>
                      <w:rFonts w:ascii="仿宋_GB2312" w:hAnsi="仿宋_GB2312" w:cs="仿宋_GB2312" w:eastAsia="仿宋_GB2312"/>
                      <w:sz w:val="24"/>
                      <w:color w:val="000000"/>
                    </w:rPr>
                    <w:t>建立三级审核机制：编导初审、项目负责人复审、采购方终审，确保内容质量。审核无误后按照约定时间节点完成制作播出。每月</w:t>
                  </w:r>
                  <w:r>
                    <w:rPr>
                      <w:rFonts w:ascii="仿宋_GB2312" w:hAnsi="仿宋_GB2312" w:cs="仿宋_GB2312" w:eastAsia="仿宋_GB2312"/>
                      <w:sz w:val="24"/>
                      <w:color w:val="000000"/>
                    </w:rPr>
                    <w:t>5日前提交上月宣传工作报表，包括播出清单、音视频文件、传播数据、效果分析等。</w:t>
                  </w:r>
                </w:p>
                <w:p>
                  <w:pPr>
                    <w:pStyle w:val="null3"/>
                    <w:jc w:val="both"/>
                  </w:pPr>
                  <w:r>
                    <w:rPr>
                      <w:rFonts w:ascii="仿宋_GB2312" w:hAnsi="仿宋_GB2312" w:cs="仿宋_GB2312" w:eastAsia="仿宋_GB2312"/>
                      <w:sz w:val="28"/>
                      <w:b/>
                      <w:color w:val="000000"/>
                    </w:rPr>
                    <w:t>（三）目标效果</w:t>
                  </w:r>
                </w:p>
                <w:p>
                  <w:pPr>
                    <w:pStyle w:val="null3"/>
                    <w:ind w:firstLine="480"/>
                    <w:jc w:val="both"/>
                  </w:pPr>
                  <w:r>
                    <w:rPr>
                      <w:rFonts w:ascii="仿宋_GB2312" w:hAnsi="仿宋_GB2312" w:cs="仿宋_GB2312" w:eastAsia="仿宋_GB2312"/>
                      <w:sz w:val="24"/>
                      <w:color w:val="000000"/>
                    </w:rPr>
                    <w:t>充分利用省属国有大型文化传媒企业的权威性、官方性、专业性和社会影响力开展政媒合作，通过宣传有效传递市场监管政策、及时发布工作成效、典型案例和科普知识，讲述市场监管</w:t>
                  </w:r>
                  <w:r>
                    <w:rPr>
                      <w:rFonts w:ascii="仿宋_GB2312" w:hAnsi="仿宋_GB2312" w:cs="仿宋_GB2312" w:eastAsia="仿宋_GB2312"/>
                      <w:sz w:val="24"/>
                      <w:color w:val="000000"/>
                    </w:rPr>
                    <w:t>“好故事”、传播市场监管“好声音”、展示市场监管“好形象”。让人民群众更加了解市场监管和支持市场监管工作，提高市场监管新闻舆论传播力、引导力、影响力和公信力。</w:t>
                  </w:r>
                </w:p>
                <w:p>
                  <w:pPr>
                    <w:pStyle w:val="null3"/>
                    <w:ind w:firstLine="480"/>
                    <w:jc w:val="both"/>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根据采购文件及合同规定执行。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根据采购文件及合同规定执行。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陕西省市场监督管理局指定地点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所有服务提供完毕且经采购人验收合格后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1、采购文件要求签字或盖章之处，非法人单位均参照执行。 2、供应商需要在线提交所有通过电子化交易平台实施的政府采购项目的响应文件，同时，线下提交纸质响应文件正本壹份、副本贰份、电子版壹份（U盘一套标明投标人名称，单独密封），纸质响应文件双面打印。 3、线下纸质响应文件递交截止时间：同在线递交电子响应文件截止时间一致；线下纸质响应文件递交地点：西安市雁展路1111号莱安中心T6-15层。如需邮寄投标文件，仅接受顺丰速运（联系人：温虎、联系电话：029-81206622-820）。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或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分项报价表.docx 标的清单 报价表 响应报价表.docx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保证金交纳凭证（保函）.docx 响应文件封面 分项报价表.docx 残疾人福利性单位声明函 标的清单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保证金交纳符合单一来源采购文件要求</w:t>
            </w:r>
          </w:p>
        </w:tc>
        <w:tc>
          <w:tcPr>
            <w:tcW w:type="dxa" w:w="1661"/>
          </w:tcPr>
          <w:p>
            <w:pPr>
              <w:pStyle w:val="null3"/>
            </w:pPr>
            <w:r>
              <w:rPr>
                <w:rFonts w:ascii="仿宋_GB2312" w:hAnsi="仿宋_GB2312" w:cs="仿宋_GB2312" w:eastAsia="仿宋_GB2312"/>
              </w:rPr>
              <w:t>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保证金交纳凭证（保函）.docx 响应文件封面 分项报价表.docx 残疾人福利性单位声明函 标的清单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保证金交纳凭证（保函）.docx 响应文件封面 分项报价表.docx 残疾人福利性单位声明函 标的清单 服务内容及服务要求应答表.docx 供应商资格证明文件.docx 响应报价表.docx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