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版本号：ZX2026-03-26.20260428001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陕西医保全媒体赋能提升项目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ZX2026-03-26.</w:t>
      </w:r>
      <w:r>
        <w:br/>
      </w:r>
      <w:r>
        <w:br/>
      </w:r>
      <w:r>
        <w:br/>
      </w:r>
    </w:p>
    <w:p>
      <w:pPr>
        <w:pStyle w:val="null3"/>
        <w:jc w:val="center"/>
        <w:outlineLvl w:val="2"/>
      </w:pPr>
      <w:r>
        <w:rPr>
          <w:rFonts w:ascii="仿宋_GB2312" w:hAnsi="仿宋_GB2312" w:cs="仿宋_GB2312" w:eastAsia="仿宋_GB2312"/>
          <w:sz w:val="28"/>
          <w:b/>
        </w:rPr>
        <w:t>陕西省医疗保障局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陕西省医疗保障局</w:t>
      </w:r>
      <w:r>
        <w:rPr>
          <w:rFonts w:ascii="仿宋_GB2312" w:hAnsi="仿宋_GB2312" w:cs="仿宋_GB2312" w:eastAsia="仿宋_GB2312"/>
        </w:rPr>
        <w:t>委托，拟对</w:t>
      </w:r>
      <w:r>
        <w:rPr>
          <w:rFonts w:ascii="仿宋_GB2312" w:hAnsi="仿宋_GB2312" w:cs="仿宋_GB2312" w:eastAsia="仿宋_GB2312"/>
        </w:rPr>
        <w:t>陕西医保全媒体赋能提升项目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陕西医保全媒体赋能提升项目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陕西医保全媒体赋能提升项目，1项，具体内容详见磋商文件第三章。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陕西省医疗保障局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陕西省西安市新城区新城广场省政府大院前大楼12层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029-63919312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崔文 王宇轩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采购包1保证金金额：10,326.00元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代理服务费收费标准：参照国家计委计价格[2002]1980号及发改办价格[2003]857号通知规定标准计取，由成交供应商支付代理服务费。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陕西省医疗保障局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陕西省医疗保障局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陕西省医疗保障局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孙童欣</w:t>
      </w:r>
    </w:p>
    <w:p>
      <w:pPr>
        <w:pStyle w:val="null3"/>
      </w:pPr>
      <w:r>
        <w:rPr>
          <w:rFonts w:ascii="仿宋_GB2312" w:hAnsi="仿宋_GB2312" w:cs="仿宋_GB2312" w:eastAsia="仿宋_GB2312"/>
        </w:rPr>
        <w:t>联系电话：029-88110800转8033（邮箱号：1053910307@qq.com）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本项目为陕西医保全媒体赋能提升项目，1项。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陕西医保全媒体赋能提升项目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标的名称：陕西医保全媒体赋能提升项目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一、项目概况：</w:t>
            </w:r>
          </w:p>
          <w:p>
            <w:pPr>
              <w:pStyle w:val="null3"/>
              <w:jc w:val="left"/>
            </w:pPr>
            <w:r>
              <w:rPr>
                <w:rFonts w:ascii="仿宋_GB2312" w:hAnsi="仿宋_GB2312" w:cs="仿宋_GB2312" w:eastAsia="仿宋_GB2312"/>
                <w:sz w:val="24"/>
              </w:rPr>
              <w:t>为全面提升陕西医保政策传播效能与公共形象，增强公众对医保政策的认知度与理解力，陕西省医保局现启动</w:t>
            </w:r>
            <w:r>
              <w:rPr>
                <w:rFonts w:ascii="仿宋_GB2312" w:hAnsi="仿宋_GB2312" w:cs="仿宋_GB2312" w:eastAsia="仿宋_GB2312"/>
                <w:sz w:val="24"/>
              </w:rPr>
              <w:t>“陕西医保全媒体赋能提升项目”采购工作。本项目旨在通过全媒体平台系统性扩大陕西医保宣介工作的覆盖面、提升影响力，构建“接地气、入人心”的医保宣介新范式，打造陕西医保面向公众的综合信息枢纽与</w:t>
            </w:r>
            <w:r>
              <w:rPr>
                <w:rFonts w:ascii="仿宋_GB2312" w:hAnsi="仿宋_GB2312" w:cs="仿宋_GB2312" w:eastAsia="仿宋_GB2312"/>
                <w:sz w:val="24"/>
              </w:rPr>
              <w:t>民生服务门户。</w:t>
            </w:r>
          </w:p>
          <w:p>
            <w:pPr>
              <w:pStyle w:val="null3"/>
              <w:jc w:val="left"/>
            </w:pPr>
            <w:r>
              <w:rPr>
                <w:rFonts w:ascii="仿宋_GB2312" w:hAnsi="仿宋_GB2312" w:cs="仿宋_GB2312" w:eastAsia="仿宋_GB2312"/>
                <w:sz w:val="24"/>
              </w:rPr>
              <w:t>二、采购内容：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全媒体信息服务</w:t>
            </w:r>
          </w:p>
          <w:p>
            <w:pPr>
              <w:pStyle w:val="null3"/>
              <w:jc w:val="left"/>
            </w:pPr>
            <w:r>
              <w:rPr>
                <w:rFonts w:ascii="仿宋_GB2312" w:hAnsi="仿宋_GB2312" w:cs="仿宋_GB2312" w:eastAsia="仿宋_GB2312"/>
                <w:sz w:val="24"/>
              </w:rPr>
              <w:t>1.融媒专题建设：依托媒体平台，在核心推广阵地开设陕西医保专题网页。</w:t>
            </w:r>
            <w:r>
              <w:rPr>
                <w:rFonts w:ascii="仿宋_GB2312" w:hAnsi="仿宋_GB2312" w:cs="仿宋_GB2312" w:eastAsia="仿宋_GB2312"/>
                <w:sz w:val="24"/>
              </w:rPr>
              <w:t>围绕《健康陕西</w:t>
            </w:r>
            <w:r>
              <w:rPr>
                <w:rFonts w:ascii="仿宋_GB2312" w:hAnsi="仿宋_GB2312" w:cs="仿宋_GB2312" w:eastAsia="仿宋_GB2312"/>
                <w:sz w:val="24"/>
              </w:rPr>
              <w:t>医保护航》主题</w:t>
            </w:r>
            <w:r>
              <w:rPr>
                <w:rFonts w:ascii="仿宋_GB2312" w:hAnsi="仿宋_GB2312" w:cs="仿宋_GB2312" w:eastAsia="仿宋_GB2312"/>
                <w:sz w:val="24"/>
              </w:rPr>
              <w:t>，</w:t>
            </w:r>
            <w:r>
              <w:rPr>
                <w:rFonts w:ascii="仿宋_GB2312" w:hAnsi="仿宋_GB2312" w:cs="仿宋_GB2312" w:eastAsia="仿宋_GB2312"/>
                <w:sz w:val="24"/>
              </w:rPr>
              <w:t>运用成熟的集成技术与视觉呈现系统，实现陕西医保综合信息的体系化聚合与可视化展示，打造具备公信力的一站式信息枢纽与民生服务门户。</w:t>
            </w:r>
          </w:p>
          <w:p>
            <w:pPr>
              <w:pStyle w:val="null3"/>
              <w:jc w:val="left"/>
            </w:pPr>
            <w:r>
              <w:rPr>
                <w:rFonts w:ascii="仿宋_GB2312" w:hAnsi="仿宋_GB2312" w:cs="仿宋_GB2312" w:eastAsia="仿宋_GB2312"/>
                <w:sz w:val="24"/>
              </w:rPr>
              <w:t>2.医保信息服务：围绕公众高频疑问与最新政策动态，系统策划并制作发布“陕西医保百问”信息产品。依托</w:t>
            </w:r>
            <w:r>
              <w:rPr>
                <w:rFonts w:ascii="仿宋_GB2312" w:hAnsi="仿宋_GB2312" w:cs="仿宋_GB2312" w:eastAsia="仿宋_GB2312"/>
                <w:sz w:val="24"/>
              </w:rPr>
              <w:t>媒体</w:t>
            </w:r>
            <w:r>
              <w:rPr>
                <w:rFonts w:ascii="仿宋_GB2312" w:hAnsi="仿宋_GB2312" w:cs="仿宋_GB2312" w:eastAsia="仿宋_GB2312"/>
                <w:sz w:val="24"/>
              </w:rPr>
              <w:t>审发机制与专业资源，确保政策解读的精准性与公信力，并通过</w:t>
            </w:r>
            <w:r>
              <w:rPr>
                <w:rFonts w:ascii="仿宋_GB2312" w:hAnsi="仿宋_GB2312" w:cs="仿宋_GB2312" w:eastAsia="仿宋_GB2312"/>
                <w:sz w:val="24"/>
              </w:rPr>
              <w:t>全</w:t>
            </w:r>
            <w:r>
              <w:rPr>
                <w:rFonts w:ascii="仿宋_GB2312" w:hAnsi="仿宋_GB2312" w:cs="仿宋_GB2312" w:eastAsia="仿宋_GB2312"/>
                <w:sz w:val="24"/>
              </w:rPr>
              <w:t>媒</w:t>
            </w:r>
            <w:r>
              <w:rPr>
                <w:rFonts w:ascii="仿宋_GB2312" w:hAnsi="仿宋_GB2312" w:cs="仿宋_GB2312" w:eastAsia="仿宋_GB2312"/>
                <w:sz w:val="24"/>
              </w:rPr>
              <w:t>体</w:t>
            </w:r>
            <w:r>
              <w:rPr>
                <w:rFonts w:ascii="仿宋_GB2312" w:hAnsi="仿宋_GB2312" w:cs="仿宋_GB2312" w:eastAsia="仿宋_GB2312"/>
                <w:sz w:val="24"/>
              </w:rPr>
              <w:t>推广体系</w:t>
            </w:r>
            <w:r>
              <w:rPr>
                <w:rFonts w:ascii="仿宋_GB2312" w:hAnsi="仿宋_GB2312" w:cs="仿宋_GB2312" w:eastAsia="仿宋_GB2312"/>
                <w:sz w:val="24"/>
              </w:rPr>
              <w:t>，实现政策信息的及时、精准、广泛触达。</w:t>
            </w:r>
          </w:p>
          <w:p>
            <w:pPr>
              <w:pStyle w:val="null3"/>
              <w:jc w:val="left"/>
            </w:pPr>
            <w:r>
              <w:rPr>
                <w:rFonts w:ascii="仿宋_GB2312" w:hAnsi="仿宋_GB2312" w:cs="仿宋_GB2312" w:eastAsia="仿宋_GB2312"/>
                <w:sz w:val="24"/>
              </w:rPr>
              <w:t>3.视频节目制作：策划制作1档形态新颖、传播力强的漫剧节目，采用多集化呈现方式，总集数不少于50集，总时长不少于80分钟，对医保领域重点内容进行故事化演绎与情景再现，充分彰显医保为民的价值追求。依托多平台传播矩阵，实现内容的多维触达与广泛影响。其中涉及医保重大政策的内容要在国家级媒体传播。</w:t>
            </w:r>
          </w:p>
          <w:p>
            <w:pPr>
              <w:pStyle w:val="null3"/>
              <w:jc w:val="left"/>
            </w:pPr>
            <w:r>
              <w:rPr>
                <w:rFonts w:ascii="仿宋_GB2312" w:hAnsi="仿宋_GB2312" w:cs="仿宋_GB2312" w:eastAsia="仿宋_GB2312"/>
                <w:sz w:val="24"/>
              </w:rPr>
              <w:t>4.对话节目制作：制作播出对话节目2期，每期时长约5分钟，邀请医保部门相关人员、业内权威专家等，深入解读政策重点，精准回应社会关切。依托</w:t>
            </w:r>
            <w:r>
              <w:rPr>
                <w:rFonts w:ascii="仿宋_GB2312" w:hAnsi="仿宋_GB2312" w:cs="仿宋_GB2312" w:eastAsia="仿宋_GB2312"/>
                <w:sz w:val="24"/>
              </w:rPr>
              <w:t>国家级</w:t>
            </w:r>
            <w:r>
              <w:rPr>
                <w:rFonts w:ascii="仿宋_GB2312" w:hAnsi="仿宋_GB2312" w:cs="仿宋_GB2312" w:eastAsia="仿宋_GB2312"/>
                <w:sz w:val="24"/>
              </w:rPr>
              <w:t>媒</w:t>
            </w:r>
            <w:r>
              <w:rPr>
                <w:rFonts w:ascii="仿宋_GB2312" w:hAnsi="仿宋_GB2312" w:cs="仿宋_GB2312" w:eastAsia="仿宋_GB2312"/>
                <w:sz w:val="24"/>
              </w:rPr>
              <w:t>体平台与多元推广渠道，实现高规格、深层次的政策推广。</w:t>
            </w:r>
          </w:p>
          <w:p>
            <w:pPr>
              <w:pStyle w:val="null3"/>
              <w:jc w:val="left"/>
            </w:pPr>
            <w:r>
              <w:rPr>
                <w:rFonts w:ascii="仿宋_GB2312" w:hAnsi="仿宋_GB2312" w:cs="仿宋_GB2312" w:eastAsia="仿宋_GB2312"/>
                <w:sz w:val="24"/>
              </w:rPr>
              <w:t>5.数据产品制作：制作发布4期数据图解，依托成熟的可视化呈现平台与设计能力，将专业政策条文、统计数据、典型案例进行深度加工。通过高水准的数据视觉转化，打造公众喜闻乐见、一目了然的视觉产品，实现复杂政策信息的高效传达。</w:t>
            </w:r>
          </w:p>
          <w:p>
            <w:pPr>
              <w:pStyle w:val="null3"/>
              <w:jc w:val="left"/>
            </w:pPr>
            <w:r>
              <w:rPr>
                <w:rFonts w:ascii="仿宋_GB2312" w:hAnsi="仿宋_GB2312" w:cs="仿宋_GB2312" w:eastAsia="仿宋_GB2312"/>
                <w:sz w:val="24"/>
              </w:rPr>
              <w:t>（二）媒介素养建设服务</w:t>
            </w:r>
          </w:p>
          <w:p>
            <w:pPr>
              <w:pStyle w:val="null3"/>
              <w:jc w:val="left"/>
            </w:pPr>
            <w:r>
              <w:rPr>
                <w:rFonts w:ascii="仿宋_GB2312" w:hAnsi="仿宋_GB2312" w:cs="仿宋_GB2312" w:eastAsia="仿宋_GB2312"/>
                <w:sz w:val="24"/>
              </w:rPr>
              <w:t>1.开展专业培训：依托在融媒建设、人才培养方面的资源，组织不少于2场专家讲座培训。</w:t>
            </w:r>
            <w:r>
              <w:rPr>
                <w:rFonts w:ascii="仿宋_GB2312" w:hAnsi="仿宋_GB2312" w:cs="仿宋_GB2312" w:eastAsia="仿宋_GB2312"/>
                <w:sz w:val="24"/>
              </w:rPr>
              <w:t>采购人负</w:t>
            </w:r>
            <w:r>
              <w:rPr>
                <w:rFonts w:ascii="仿宋_GB2312" w:hAnsi="仿宋_GB2312" w:cs="仿宋_GB2312" w:eastAsia="仿宋_GB2312"/>
                <w:sz w:val="24"/>
              </w:rPr>
              <w:t>责培训场地</w:t>
            </w:r>
            <w:r>
              <w:rPr>
                <w:rFonts w:ascii="仿宋_GB2312" w:hAnsi="仿宋_GB2312" w:cs="仿宋_GB2312" w:eastAsia="仿宋_GB2312"/>
                <w:sz w:val="24"/>
              </w:rPr>
              <w:t>、</w:t>
            </w:r>
            <w:r>
              <w:rPr>
                <w:rFonts w:ascii="仿宋_GB2312" w:hAnsi="仿宋_GB2312" w:cs="仿宋_GB2312" w:eastAsia="仿宋_GB2312"/>
                <w:sz w:val="24"/>
              </w:rPr>
              <w:t>食宿等；</w:t>
            </w:r>
            <w:r>
              <w:rPr>
                <w:rFonts w:ascii="仿宋_GB2312" w:hAnsi="仿宋_GB2312" w:cs="仿宋_GB2312" w:eastAsia="仿宋_GB2312"/>
                <w:sz w:val="24"/>
              </w:rPr>
              <w:t>供应商负责</w:t>
            </w:r>
            <w:r>
              <w:rPr>
                <w:rFonts w:ascii="仿宋_GB2312" w:hAnsi="仿宋_GB2312" w:cs="仿宋_GB2312" w:eastAsia="仿宋_GB2312"/>
                <w:sz w:val="24"/>
              </w:rPr>
              <w:t>邀请相关领域资深专家，系统讲授媒介素养类核心课程。</w:t>
            </w:r>
          </w:p>
          <w:p>
            <w:pPr>
              <w:pStyle w:val="null3"/>
            </w:pPr>
            <w:r>
              <w:rPr>
                <w:rFonts w:ascii="仿宋_GB2312" w:hAnsi="仿宋_GB2312" w:cs="仿宋_GB2312" w:eastAsia="仿宋_GB2312"/>
                <w:sz w:val="24"/>
              </w:rPr>
              <w:t>2.开展日常赋能：在合作周期内，依托专业力量，在选题策划、推广策略、能力建设等方面提供持续性的咨询支持，形成“培训赋能+策略支持”的全周期服务闭环。</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陕西省医疗保障局指定地点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合同签订后，采购人在收到成交供应商提供的符合国家规定和采购人要求的发票之日起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2026年12月31日前，成交供应商按照合同约定完成对应阶段服务并经采购人书面验收确认合格后，采购人在收到成交供应商提供的符合国家规定和采购人要求的发票之日起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本项目全部完成，经采购人最终验收合格且双方无争议后，采购人在收到成交供应商提供的符合国家规定和采购人要求的发票之日起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磋商小组应当启动异常低价磋商审查程序：①磋商报价低于全部通过符合性审查供应商磋商报价平均值50%的，即磋商报价＜全部通过符合性审查供应商磋商报价平均值×50%； ②磋商报价低于通过符合性审查的次低报价供应商磋商报价50%的，即磋商报价＜通过符合性审查的次低报价供应商磋商报价×50%； ③磋商报价低于采购项目最高限价45%的，即磋商报价＜采购项目最高限价×45%； ④供应商基于专业判断，认为供应商报价过低，有可能影响产品质量或者不能诚信履约的其他情形。 二、磋商小组启动异常低价投标审查后，属于前述①至④情形的，应当要求相关供应商在评审现场合理的时间（30分钟）内对磋商价格作出解释，提供项目具体成本测算等与报价合理性相关的书面说明及必要的证明材料。书面说明应当包括：（1）按照国家财务会计制度的规定要求，逐项就供应商提供的货物、工程和服务的主营业务成本（应根据供应商企业类型予以区别）、税金及附加、原材料成本、人工成本、制造费用、销售费用、管理费用、财务费用等成本构成事项详细陈述。（2）供应商以前完成类似规模项目与类似价格的业绩证明材料（合同、发票）。其中，属于③情形，供应商已随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磋商报价合理性的或未在规定时间内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满足本磋商文件中“服务期限、服务地点、采购资金的支付方式及约定”的实质性条款要求</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供应商针对本项目的采购需求及项目特点提供总体服务方案，至少包含：①需求分析；②项目整体规划；③服务流程；④服务标准；⑤项目重难点分析及应对措施等。 满足项目实施需求，无瑕疵：10分； 方案内容每存在1处瑕疵扣1分； 未提供或内容存在10处及以上瑕疵：0分。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1总体服务方案.docx</w:t>
            </w:r>
          </w:p>
        </w:tc>
      </w:tr>
      <w:tr>
        <w:tc>
          <w:tcPr>
            <w:tcW w:type="dxa" w:w="831"/>
            <w:vMerge/>
          </w:tcPr>
          <w:p/>
        </w:tc>
        <w:tc>
          <w:tcPr>
            <w:tcW w:type="dxa" w:w="1661"/>
          </w:tcPr>
          <w:p>
            <w:pPr>
              <w:pStyle w:val="null3"/>
            </w:pPr>
            <w:r>
              <w:rPr>
                <w:rFonts w:ascii="仿宋_GB2312" w:hAnsi="仿宋_GB2312" w:cs="仿宋_GB2312" w:eastAsia="仿宋_GB2312"/>
              </w:rPr>
              <w:t>陕西医保专题建设方案</w:t>
            </w:r>
          </w:p>
        </w:tc>
        <w:tc>
          <w:tcPr>
            <w:tcW w:type="dxa" w:w="2492"/>
          </w:tcPr>
          <w:p>
            <w:pPr>
              <w:pStyle w:val="null3"/>
            </w:pPr>
            <w:r>
              <w:rPr>
                <w:rFonts w:ascii="仿宋_GB2312" w:hAnsi="仿宋_GB2312" w:cs="仿宋_GB2312" w:eastAsia="仿宋_GB2312"/>
              </w:rPr>
              <w:t>供应商针对项目要求提供陕西医保专题建设方案，包括但不限于：①专题建设思路；②信息整理与内容展示；③版块设置及网页搭建；④专题运维及保障方案。 完全满足采购需求，无瑕疵，计12分； 方案内容每存在1处瑕疵扣1分； 未提供或内容存在12处及以上瑕疵：0分。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2陕西医保专题建设方案.docx</w:t>
            </w:r>
          </w:p>
        </w:tc>
      </w:tr>
      <w:tr>
        <w:tc>
          <w:tcPr>
            <w:tcW w:type="dxa" w:w="831"/>
            <w:vMerge/>
          </w:tcPr>
          <w:p/>
        </w:tc>
        <w:tc>
          <w:tcPr>
            <w:tcW w:type="dxa" w:w="1661"/>
          </w:tcPr>
          <w:p>
            <w:pPr>
              <w:pStyle w:val="null3"/>
            </w:pPr>
            <w:r>
              <w:rPr>
                <w:rFonts w:ascii="仿宋_GB2312" w:hAnsi="仿宋_GB2312" w:cs="仿宋_GB2312" w:eastAsia="仿宋_GB2312"/>
              </w:rPr>
              <w:t>医保政策信息服务方案</w:t>
            </w:r>
          </w:p>
        </w:tc>
        <w:tc>
          <w:tcPr>
            <w:tcW w:type="dxa" w:w="2492"/>
          </w:tcPr>
          <w:p>
            <w:pPr>
              <w:pStyle w:val="null3"/>
            </w:pPr>
            <w:r>
              <w:rPr>
                <w:rFonts w:ascii="仿宋_GB2312" w:hAnsi="仿宋_GB2312" w:cs="仿宋_GB2312" w:eastAsia="仿宋_GB2312"/>
              </w:rPr>
              <w:t>供应商根据项目需求提供医保政策信息服务方案，包括但不限于①医保相关信息收集、整理及筛选；②信息制作及发布；③公众问题解答质量保障方案。 完全满足采购需求，无瑕疵，计9分； 方案内容每存在1处瑕疵扣1分； 未提供或内容存在9处及以上瑕疵：0分。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3医保政策信息服务方案.docx</w:t>
            </w:r>
          </w:p>
        </w:tc>
      </w:tr>
      <w:tr>
        <w:tc>
          <w:tcPr>
            <w:tcW w:type="dxa" w:w="831"/>
            <w:vMerge/>
          </w:tcPr>
          <w:p/>
        </w:tc>
        <w:tc>
          <w:tcPr>
            <w:tcW w:type="dxa" w:w="1661"/>
          </w:tcPr>
          <w:p>
            <w:pPr>
              <w:pStyle w:val="null3"/>
            </w:pPr>
            <w:r>
              <w:rPr>
                <w:rFonts w:ascii="仿宋_GB2312" w:hAnsi="仿宋_GB2312" w:cs="仿宋_GB2312" w:eastAsia="仿宋_GB2312"/>
              </w:rPr>
              <w:t>视频节目制作方案</w:t>
            </w:r>
          </w:p>
        </w:tc>
        <w:tc>
          <w:tcPr>
            <w:tcW w:type="dxa" w:w="2492"/>
          </w:tcPr>
          <w:p>
            <w:pPr>
              <w:pStyle w:val="null3"/>
            </w:pPr>
            <w:r>
              <w:rPr>
                <w:rFonts w:ascii="仿宋_GB2312" w:hAnsi="仿宋_GB2312" w:cs="仿宋_GB2312" w:eastAsia="仿宋_GB2312"/>
              </w:rPr>
              <w:t>供应商针对本项目要求提供视频节目制作方案，包括但不限于①视频主题策划；②拍摄方案；③视频剪辑及审核；④视频效果保障方案等。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4视频节目制作方案.docx</w:t>
            </w:r>
          </w:p>
        </w:tc>
      </w:tr>
      <w:tr>
        <w:tc>
          <w:tcPr>
            <w:tcW w:type="dxa" w:w="831"/>
            <w:vMerge/>
          </w:tcPr>
          <w:p/>
        </w:tc>
        <w:tc>
          <w:tcPr>
            <w:tcW w:type="dxa" w:w="1661"/>
          </w:tcPr>
          <w:p>
            <w:pPr>
              <w:pStyle w:val="null3"/>
            </w:pPr>
            <w:r>
              <w:rPr>
                <w:rFonts w:ascii="仿宋_GB2312" w:hAnsi="仿宋_GB2312" w:cs="仿宋_GB2312" w:eastAsia="仿宋_GB2312"/>
              </w:rPr>
              <w:t>对话节目制作方案</w:t>
            </w:r>
          </w:p>
        </w:tc>
        <w:tc>
          <w:tcPr>
            <w:tcW w:type="dxa" w:w="2492"/>
          </w:tcPr>
          <w:p>
            <w:pPr>
              <w:pStyle w:val="null3"/>
            </w:pPr>
            <w:r>
              <w:rPr>
                <w:rFonts w:ascii="仿宋_GB2312" w:hAnsi="仿宋_GB2312" w:cs="仿宋_GB2312" w:eastAsia="仿宋_GB2312"/>
              </w:rPr>
              <w:t>供应商结合陕西医保宣传需求及本项目要求提供节目制作方案，包括但不限于①节目策划；②嘉宾邀约与执行方案；③节目制作与宣传效果保障方案；④节目突发状况应对方案等。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5对话节目制作方案.docx</w:t>
            </w:r>
          </w:p>
        </w:tc>
      </w:tr>
      <w:tr>
        <w:tc>
          <w:tcPr>
            <w:tcW w:type="dxa" w:w="831"/>
            <w:vMerge/>
          </w:tcPr>
          <w:p/>
        </w:tc>
        <w:tc>
          <w:tcPr>
            <w:tcW w:type="dxa" w:w="1661"/>
          </w:tcPr>
          <w:p>
            <w:pPr>
              <w:pStyle w:val="null3"/>
            </w:pPr>
            <w:r>
              <w:rPr>
                <w:rFonts w:ascii="仿宋_GB2312" w:hAnsi="仿宋_GB2312" w:cs="仿宋_GB2312" w:eastAsia="仿宋_GB2312"/>
              </w:rPr>
              <w:t>数据产品制作方案</w:t>
            </w:r>
          </w:p>
        </w:tc>
        <w:tc>
          <w:tcPr>
            <w:tcW w:type="dxa" w:w="2492"/>
          </w:tcPr>
          <w:p>
            <w:pPr>
              <w:pStyle w:val="null3"/>
            </w:pPr>
            <w:r>
              <w:rPr>
                <w:rFonts w:ascii="仿宋_GB2312" w:hAnsi="仿宋_GB2312" w:cs="仿宋_GB2312" w:eastAsia="仿宋_GB2312"/>
              </w:rPr>
              <w:t>供应商提供针对本项目的数据产品制作方案，包括但不限于①主题设计、内容梳理、筛选及编辑；②图解排版；③图解制作、审核及校对；④制作进度保障。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6数据产品制作方案.docx</w:t>
            </w:r>
          </w:p>
        </w:tc>
      </w:tr>
      <w:tr>
        <w:tc>
          <w:tcPr>
            <w:tcW w:type="dxa" w:w="831"/>
            <w:vMerge/>
          </w:tcPr>
          <w:p/>
        </w:tc>
        <w:tc>
          <w:tcPr>
            <w:tcW w:type="dxa" w:w="1661"/>
          </w:tcPr>
          <w:p>
            <w:pPr>
              <w:pStyle w:val="null3"/>
            </w:pPr>
            <w:r>
              <w:rPr>
                <w:rFonts w:ascii="仿宋_GB2312" w:hAnsi="仿宋_GB2312" w:cs="仿宋_GB2312" w:eastAsia="仿宋_GB2312"/>
              </w:rPr>
              <w:t>培训讲座组织方案</w:t>
            </w:r>
          </w:p>
        </w:tc>
        <w:tc>
          <w:tcPr>
            <w:tcW w:type="dxa" w:w="2492"/>
          </w:tcPr>
          <w:p>
            <w:pPr>
              <w:pStyle w:val="null3"/>
            </w:pPr>
            <w:r>
              <w:rPr>
                <w:rFonts w:ascii="仿宋_GB2312" w:hAnsi="仿宋_GB2312" w:cs="仿宋_GB2312" w:eastAsia="仿宋_GB2312"/>
              </w:rPr>
              <w:t>供应商提供针对本项目的培训讲座组织方案，方案内容包括但不限于①培训计划及流程；②培训内容制定；③培训效果保障；④培训会务保障方案。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7培训讲座组织方案.docx</w:t>
            </w:r>
          </w:p>
        </w:tc>
      </w:tr>
      <w:tr>
        <w:tc>
          <w:tcPr>
            <w:tcW w:type="dxa" w:w="831"/>
            <w:vMerge/>
          </w:tcPr>
          <w:p/>
        </w:tc>
        <w:tc>
          <w:tcPr>
            <w:tcW w:type="dxa" w:w="1661"/>
          </w:tcPr>
          <w:p>
            <w:pPr>
              <w:pStyle w:val="null3"/>
            </w:pPr>
            <w:r>
              <w:rPr>
                <w:rFonts w:ascii="仿宋_GB2312" w:hAnsi="仿宋_GB2312" w:cs="仿宋_GB2312" w:eastAsia="仿宋_GB2312"/>
              </w:rPr>
              <w:t>日常赋能服务</w:t>
            </w:r>
          </w:p>
        </w:tc>
        <w:tc>
          <w:tcPr>
            <w:tcW w:type="dxa" w:w="2492"/>
          </w:tcPr>
          <w:p>
            <w:pPr>
              <w:pStyle w:val="null3"/>
            </w:pPr>
            <w:r>
              <w:rPr>
                <w:rFonts w:ascii="仿宋_GB2312" w:hAnsi="仿宋_GB2312" w:cs="仿宋_GB2312" w:eastAsia="仿宋_GB2312"/>
              </w:rPr>
              <w:t>供应商针对本项目需求为采购人提供日常赋能服务，内容包括但不限于①选题策划；②传播策略；③专题建设等方面。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8日常赋能服务.docx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供应商针对本项目需求配备服务团队，并包含一名项目负责人。提供拟派项目负责人、团队成员配备情况、岗位职责分工及拟配备团队人员的简历介绍（包括人员的年龄、学历、专业、工作履历等信息）。 完全满足采购需求，无瑕疵，计10分； 方案内容每存在1处瑕疵扣1分；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9团队人员.docx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1分，最高得5分。 备注：响应文件中提供合同扫描件加盖供应商公章。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供应商结合采购需求针对本项目提供合理化建议。每提供一项经磋商小组一致认定有利于项目实施的建议计1分，满分4分。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11合理化建议.docx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价格分=（评标基准价／响应报价）×价格分值 备注：1.计算分数时四舍五入取小数点后两位）；2.落实政府采购政策：详见价格扣除。</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详见附件：1总体服务方案.docx</w:t>
      </w:r>
    </w:p>
    <w:p>
      <w:pPr>
        <w:pStyle w:val="null3"/>
        <w:ind w:firstLine="960"/>
      </w:pPr>
      <w:r>
        <w:rPr>
          <w:rFonts w:ascii="仿宋_GB2312" w:hAnsi="仿宋_GB2312" w:cs="仿宋_GB2312" w:eastAsia="仿宋_GB2312"/>
        </w:rPr>
        <w:t>详见附件：2陕西医保专题建设方案.docx</w:t>
      </w:r>
    </w:p>
    <w:p>
      <w:pPr>
        <w:pStyle w:val="null3"/>
        <w:ind w:firstLine="960"/>
      </w:pPr>
      <w:r>
        <w:rPr>
          <w:rFonts w:ascii="仿宋_GB2312" w:hAnsi="仿宋_GB2312" w:cs="仿宋_GB2312" w:eastAsia="仿宋_GB2312"/>
        </w:rPr>
        <w:t>详见附件：3医保政策信息服务方案.docx</w:t>
      </w:r>
    </w:p>
    <w:p>
      <w:pPr>
        <w:pStyle w:val="null3"/>
        <w:ind w:firstLine="960"/>
      </w:pPr>
      <w:r>
        <w:rPr>
          <w:rFonts w:ascii="仿宋_GB2312" w:hAnsi="仿宋_GB2312" w:cs="仿宋_GB2312" w:eastAsia="仿宋_GB2312"/>
        </w:rPr>
        <w:t>详见附件：4视频节目制作方案.docx</w:t>
      </w:r>
    </w:p>
    <w:p>
      <w:pPr>
        <w:pStyle w:val="null3"/>
        <w:ind w:firstLine="960"/>
      </w:pPr>
      <w:r>
        <w:rPr>
          <w:rFonts w:ascii="仿宋_GB2312" w:hAnsi="仿宋_GB2312" w:cs="仿宋_GB2312" w:eastAsia="仿宋_GB2312"/>
        </w:rPr>
        <w:t>详见附件：5对话节目制作方案.docx</w:t>
      </w:r>
    </w:p>
    <w:p>
      <w:pPr>
        <w:pStyle w:val="null3"/>
        <w:ind w:firstLine="960"/>
      </w:pPr>
      <w:r>
        <w:rPr>
          <w:rFonts w:ascii="仿宋_GB2312" w:hAnsi="仿宋_GB2312" w:cs="仿宋_GB2312" w:eastAsia="仿宋_GB2312"/>
        </w:rPr>
        <w:t>详见附件：6数据产品制作方案.docx</w:t>
      </w:r>
    </w:p>
    <w:p>
      <w:pPr>
        <w:pStyle w:val="null3"/>
        <w:ind w:firstLine="960"/>
      </w:pPr>
      <w:r>
        <w:rPr>
          <w:rFonts w:ascii="仿宋_GB2312" w:hAnsi="仿宋_GB2312" w:cs="仿宋_GB2312" w:eastAsia="仿宋_GB2312"/>
        </w:rPr>
        <w:t>详见附件：7培训讲座组织方案.docx</w:t>
      </w:r>
    </w:p>
    <w:p>
      <w:pPr>
        <w:pStyle w:val="null3"/>
        <w:ind w:firstLine="960"/>
      </w:pPr>
      <w:r>
        <w:rPr>
          <w:rFonts w:ascii="仿宋_GB2312" w:hAnsi="仿宋_GB2312" w:cs="仿宋_GB2312" w:eastAsia="仿宋_GB2312"/>
        </w:rPr>
        <w:t>详见附件：8日常赋能服务.docx</w:t>
      </w:r>
    </w:p>
    <w:p>
      <w:pPr>
        <w:pStyle w:val="null3"/>
        <w:ind w:firstLine="960"/>
      </w:pPr>
      <w:r>
        <w:rPr>
          <w:rFonts w:ascii="仿宋_GB2312" w:hAnsi="仿宋_GB2312" w:cs="仿宋_GB2312" w:eastAsia="仿宋_GB2312"/>
        </w:rPr>
        <w:t>详见附件：9团队人员.docx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详见附件：11合理化建议.docx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