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版本号：SNJZ-2026-11220260428001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2026年职工体检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SNJZ-2026-112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2026年职工体检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SNJZ-2026-112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2026年职工体检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2026年职工体检</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采购包1（体检）：属于专门面向中小企业采购。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2、授权书：法定代表人参加磋商时，提供法定代表人证明书；授权代表参加磋商时，提供法定代表人授权书；非法人单位参照执行。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3、财务状况报告：提供经审计的2024或2025年度的财务报告或提交磋商响应文件截止时间前十二个月银行资信证明；或政府采购信用担保机构出具的投标担保函。</w:t>
      </w:r>
    </w:p>
    <w:p>
      <w:pPr>
        <w:pStyle w:val="null3"/>
      </w:pPr>
      <w:r>
        <w:rPr>
          <w:rFonts w:ascii="仿宋_GB2312" w:hAnsi="仿宋_GB2312" w:cs="仿宋_GB2312" w:eastAsia="仿宋_GB2312"/>
        </w:rPr>
        <w:t>4、税收缴纳证明：提供磋商响应文件递交截止时间近十二个月内至少一个月已缴纳的纳税凭据或完税证明；依法免税的供应商应提供相关文件证明。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7、无重大违法记录的书面声明：提供参加政府采购活动前三年内在经营活动中没有重大违法记录的书面声明。</w:t>
      </w:r>
    </w:p>
    <w:p>
      <w:pPr>
        <w:pStyle w:val="null3"/>
      </w:pPr>
      <w:r>
        <w:rPr>
          <w:rFonts w:ascii="仿宋_GB2312" w:hAnsi="仿宋_GB2312" w:cs="仿宋_GB2312" w:eastAsia="仿宋_GB2312"/>
        </w:rPr>
        <w:t>8、特殊资质：供应商具有区县级及以上卫生健康行政部门批准颁发的有效《医疗机构执业许可证》和卫生行政部门核准登记取得的《放射诊疗许可证》。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马子啸、王力、程钰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开户名称：陕西教育招标有限责任公司</w:t>
            </w:r>
          </w:p>
          <w:p>
            <w:pPr>
              <w:pStyle w:val="null3"/>
            </w:pPr>
            <w:r>
              <w:rPr>
                <w:rFonts w:ascii="仿宋_GB2312" w:hAnsi="仿宋_GB2312" w:cs="仿宋_GB2312" w:eastAsia="仿宋_GB2312"/>
              </w:rPr>
              <w:t>开户银行：浙商银行西安长安路支行</w:t>
            </w:r>
          </w:p>
          <w:p>
            <w:pPr>
              <w:pStyle w:val="null3"/>
            </w:pPr>
            <w:r>
              <w:rPr>
                <w:rFonts w:ascii="仿宋_GB2312" w:hAnsi="仿宋_GB2312" w:cs="仿宋_GB2312" w:eastAsia="仿宋_GB2312"/>
              </w:rPr>
              <w:t>银行账号：7910000410120100071552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说明：成交人须在合同签订前向采购人缴纳履约保证金，金额为合同暂估总金额的5%。履约保证金待项目验收合格且无争议后30日内无息退还。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预算为基数，参照国家计委关于印发《招标代理服务收费管理暂行办法》的通知（计价格[2002]1980号）和发改办价格[2003]857号规定的80%，由成交人在领取成交通知书时向代理机构缴纳代理服务费。招标代理服务费采用现金、电汇或银行转账方式交纳，不得采用磋商保证金抵扣。（开户名称：陕西教育招标有限责任公司、开户银行：中 国光大银行陕西自贸试验区西安唐延路支行、账号：78580188000058925、银行行号：303791000136，财务电话：029-88224928）。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陕西教育招标有限责任公司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初验：项目完成，供应商按约定完成所有服务，且服务质量无争议，视为初验合格。 终验：本项目最终验收须经采购方相关管理部门（国资管理等部门）审核确认，采购方可在最终付款前根据管理要求提出补充验收要求，供应商应无条件配合完成。最终验收合格并经采购方内部审批通过后，方可办理款项支付手续。 验收依据：合同文本，磋商文件，磋商响应文件，国内相应标准、规范等。</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联系人：马子啸</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2026年职工体检，预计人数约1000人，人均预算600元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体检</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一、体检项目要求：</w:t>
            </w:r>
          </w:p>
          <w:p>
            <w:pPr>
              <w:pStyle w:val="null3"/>
              <w:ind w:firstLine="420"/>
              <w:jc w:val="both"/>
            </w:pPr>
            <w:r>
              <w:rPr>
                <w:rFonts w:ascii="仿宋_GB2312" w:hAnsi="仿宋_GB2312" w:cs="仿宋_GB2312" w:eastAsia="仿宋_GB2312"/>
                <w:sz w:val="21"/>
              </w:rPr>
              <w:t>1、由供应商根据采购人教职工工作性质，制定出此次体检方案（费用为600元）及方案外的体检项目折扣。基础体检方案的制定分男、女两类体检项目组合。</w:t>
            </w:r>
          </w:p>
          <w:p>
            <w:pPr>
              <w:pStyle w:val="null3"/>
              <w:ind w:firstLine="420"/>
              <w:jc w:val="both"/>
            </w:pPr>
            <w:r>
              <w:rPr>
                <w:rFonts w:ascii="仿宋_GB2312" w:hAnsi="仿宋_GB2312" w:cs="仿宋_GB2312" w:eastAsia="仿宋_GB2312"/>
                <w:sz w:val="21"/>
              </w:rPr>
              <w:t>2、基础体检方案可参考甲方提供的附件1《基础体检项目参考表》，进行选择制定。</w:t>
            </w:r>
          </w:p>
          <w:p>
            <w:pPr>
              <w:pStyle w:val="null3"/>
              <w:ind w:firstLine="420"/>
              <w:jc w:val="both"/>
            </w:pPr>
            <w:r>
              <w:rPr>
                <w:rFonts w:ascii="仿宋_GB2312" w:hAnsi="仿宋_GB2312" w:cs="仿宋_GB2312" w:eastAsia="仿宋_GB2312"/>
                <w:sz w:val="21"/>
              </w:rPr>
              <w:t>3、采购人根据基础体检方案及方案外的体检项目费用折扣来确定中标单位。</w:t>
            </w:r>
          </w:p>
          <w:p>
            <w:pPr>
              <w:pStyle w:val="null3"/>
              <w:ind w:firstLine="420"/>
              <w:jc w:val="both"/>
            </w:pPr>
            <w:r>
              <w:rPr>
                <w:rFonts w:ascii="仿宋_GB2312" w:hAnsi="仿宋_GB2312" w:cs="仿宋_GB2312" w:eastAsia="仿宋_GB2312"/>
                <w:sz w:val="21"/>
              </w:rPr>
              <w:t>4、中标方需在标书中执业范围内的职业地点安排我校教职工体检项目，不得转包或私自更换体检地点。（严禁转包）</w:t>
            </w:r>
          </w:p>
          <w:p>
            <w:pPr>
              <w:pStyle w:val="null3"/>
              <w:ind w:firstLine="422"/>
              <w:jc w:val="both"/>
            </w:pPr>
            <w:r>
              <w:rPr>
                <w:rFonts w:ascii="仿宋_GB2312" w:hAnsi="仿宋_GB2312" w:cs="仿宋_GB2312" w:eastAsia="仿宋_GB2312"/>
                <w:sz w:val="21"/>
                <w:b/>
              </w:rPr>
              <w:t>二、体检方式：</w:t>
            </w:r>
          </w:p>
          <w:p>
            <w:pPr>
              <w:pStyle w:val="null3"/>
              <w:ind w:firstLine="420"/>
              <w:jc w:val="both"/>
            </w:pPr>
            <w:r>
              <w:rPr>
                <w:rFonts w:ascii="仿宋_GB2312" w:hAnsi="仿宋_GB2312" w:cs="仿宋_GB2312" w:eastAsia="仿宋_GB2312"/>
                <w:sz w:val="21"/>
              </w:rPr>
              <w:t>1、体检地点：由供应商确定，若体检地点在阎良区以外，需供应商负责提供车辆接送（交通安全由供应商负责），提供早餐。</w:t>
            </w:r>
          </w:p>
          <w:p>
            <w:pPr>
              <w:pStyle w:val="null3"/>
              <w:ind w:firstLine="420"/>
              <w:jc w:val="both"/>
            </w:pPr>
            <w:r>
              <w:rPr>
                <w:rFonts w:ascii="仿宋_GB2312" w:hAnsi="仿宋_GB2312" w:cs="仿宋_GB2312" w:eastAsia="仿宋_GB2312"/>
                <w:sz w:val="21"/>
              </w:rPr>
              <w:t>2、体检时间为：开始时间由双方签订合同起，具体时间采购人确定，2026年8月31日前需全部完成，如有变动以采购人通知为准。</w:t>
            </w:r>
          </w:p>
          <w:p>
            <w:pPr>
              <w:pStyle w:val="null3"/>
              <w:ind w:firstLine="420"/>
              <w:jc w:val="both"/>
            </w:pPr>
            <w:r>
              <w:rPr>
                <w:rFonts w:ascii="仿宋_GB2312" w:hAnsi="仿宋_GB2312" w:cs="仿宋_GB2312" w:eastAsia="仿宋_GB2312"/>
                <w:sz w:val="21"/>
              </w:rPr>
              <w:t>3、为保障采购人人员体检安全，供应商需在标书中明确合理的体检方式，体检约计1000人左右，（家属可报名参加体检，享受同等待遇、费用自理，采购人不代为收费），包括为采购人团检时举办专场，每个门店实际安排一场人数，安排现场导医、引导工作人员数量等。结算以参加体检在编教职工实际人数结算；为保证采购人70岁以上老同志参检安全，供应商全权负责采购人参检人员人身生命安全，需制定合理的70岁以上参检人员团检时接待方案，以及门店现场意外处置情况方案并安排团检时离退休专场设置副主任及以上医师及急救护士及相应的急救用药品和器械在车上随时备用。</w:t>
            </w:r>
          </w:p>
          <w:p>
            <w:pPr>
              <w:pStyle w:val="null3"/>
              <w:ind w:firstLine="420"/>
              <w:jc w:val="both"/>
            </w:pPr>
            <w:r>
              <w:rPr>
                <w:rFonts w:ascii="仿宋_GB2312" w:hAnsi="仿宋_GB2312" w:cs="仿宋_GB2312" w:eastAsia="仿宋_GB2312"/>
                <w:sz w:val="21"/>
              </w:rPr>
              <w:t>4、体检结果应在体检结束后10日内供应商一次性交付给采购人，并根据实际体检人数进行结算。</w:t>
            </w:r>
          </w:p>
          <w:p>
            <w:pPr>
              <w:pStyle w:val="null3"/>
              <w:ind w:firstLine="420"/>
              <w:jc w:val="both"/>
            </w:pPr>
            <w:r>
              <w:rPr>
                <w:rFonts w:ascii="仿宋_GB2312" w:hAnsi="仿宋_GB2312" w:cs="仿宋_GB2312" w:eastAsia="仿宋_GB2312"/>
                <w:sz w:val="21"/>
              </w:rPr>
              <w:t>5、学校承担体检费用为每人600元（校方提供承担体检费用人员名单）。</w:t>
            </w:r>
          </w:p>
          <w:p>
            <w:pPr>
              <w:pStyle w:val="null3"/>
              <w:ind w:firstLine="420"/>
              <w:jc w:val="both"/>
            </w:pPr>
            <w:r>
              <w:rPr>
                <w:rFonts w:ascii="仿宋_GB2312" w:hAnsi="仿宋_GB2312" w:cs="仿宋_GB2312" w:eastAsia="仿宋_GB2312"/>
                <w:sz w:val="21"/>
              </w:rPr>
              <w:t>6、若教职工需自行选择体检项目，可根据乙方体检报价目录表，自行选择体检内容。超过600元的部分，教职工根据基础体检项目方案外的体检项目折扣自行付费解决。</w:t>
            </w:r>
          </w:p>
          <w:p>
            <w:pPr>
              <w:pStyle w:val="null3"/>
              <w:ind w:firstLine="420"/>
              <w:jc w:val="both"/>
            </w:pPr>
            <w:r>
              <w:rPr>
                <w:rFonts w:ascii="仿宋_GB2312" w:hAnsi="仿宋_GB2312" w:cs="仿宋_GB2312" w:eastAsia="仿宋_GB2312"/>
                <w:sz w:val="21"/>
              </w:rPr>
              <w:t>7、家属可享受职工同等金额、折扣参加体检、费用自理（校方不代为供应商收费）</w:t>
            </w:r>
          </w:p>
          <w:p>
            <w:pPr>
              <w:pStyle w:val="null3"/>
              <w:ind w:firstLine="422"/>
              <w:jc w:val="both"/>
            </w:pPr>
            <w:r>
              <w:rPr>
                <w:rFonts w:ascii="仿宋_GB2312" w:hAnsi="仿宋_GB2312" w:cs="仿宋_GB2312" w:eastAsia="仿宋_GB2312"/>
                <w:sz w:val="21"/>
                <w:b/>
              </w:rPr>
              <w:t>三、结算方式：</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b/>
              </w:rPr>
              <w:t>费用计算方式：</w:t>
            </w:r>
            <w:r>
              <w:rPr>
                <w:rFonts w:ascii="仿宋_GB2312" w:hAnsi="仿宋_GB2312" w:cs="仿宋_GB2312" w:eastAsia="仿宋_GB2312"/>
                <w:sz w:val="21"/>
              </w:rPr>
              <w:t xml:space="preserve"> </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1）供应商需向采购人交付教职工完成体检的项目清单及体检结果。</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2）采购人、供应商双方对参加体检人员所完成的体检项目进行核对并相互签字确认。</w:t>
            </w:r>
          </w:p>
          <w:p>
            <w:pPr>
              <w:pStyle w:val="null3"/>
              <w:ind w:firstLine="422"/>
              <w:jc w:val="both"/>
            </w:pPr>
            <w:r>
              <w:rPr>
                <w:rFonts w:ascii="仿宋_GB2312" w:hAnsi="仿宋_GB2312" w:cs="仿宋_GB2312" w:eastAsia="仿宋_GB2312"/>
                <w:sz w:val="21"/>
                <w:b/>
                <w:u w:val="single"/>
              </w:rPr>
              <w:t>（</w:t>
            </w:r>
            <w:r>
              <w:rPr>
                <w:rFonts w:ascii="仿宋_GB2312" w:hAnsi="仿宋_GB2312" w:cs="仿宋_GB2312" w:eastAsia="仿宋_GB2312"/>
                <w:sz w:val="21"/>
                <w:b/>
                <w:u w:val="single"/>
              </w:rPr>
              <w:t>3）采购人根据参加体检人员的人数进行结算支付；按照体检方案进行体检的人员按600元计算。教职工若自行选择体检项目，学校承担上限为600元，不足600元的按照职工体检自选意向项目实际结算。</w:t>
            </w:r>
          </w:p>
          <w:p>
            <w:pPr>
              <w:pStyle w:val="null3"/>
              <w:ind w:firstLine="422"/>
              <w:jc w:val="both"/>
            </w:pPr>
            <w:r>
              <w:rPr>
                <w:rFonts w:ascii="仿宋_GB2312" w:hAnsi="仿宋_GB2312" w:cs="仿宋_GB2312" w:eastAsia="仿宋_GB2312"/>
                <w:sz w:val="21"/>
                <w:b/>
              </w:rPr>
              <w:t>2、票据要求：</w:t>
            </w:r>
          </w:p>
          <w:p>
            <w:pPr>
              <w:pStyle w:val="null3"/>
              <w:ind w:firstLine="420"/>
              <w:jc w:val="both"/>
            </w:pPr>
            <w:r>
              <w:rPr>
                <w:rFonts w:ascii="仿宋_GB2312" w:hAnsi="仿宋_GB2312" w:cs="仿宋_GB2312" w:eastAsia="仿宋_GB2312"/>
                <w:sz w:val="21"/>
              </w:rPr>
              <w:t>供应商需提供正式发票及对公账号。采购人在供应商提供正式发票之日起，</w:t>
            </w:r>
            <w:r>
              <w:rPr>
                <w:rFonts w:ascii="仿宋_GB2312" w:hAnsi="仿宋_GB2312" w:cs="仿宋_GB2312" w:eastAsia="仿宋_GB2312"/>
                <w:sz w:val="21"/>
              </w:rPr>
              <w:t>60个工作日左右，通过转账的方式支付。</w:t>
            </w:r>
          </w:p>
          <w:p>
            <w:pPr>
              <w:pStyle w:val="null3"/>
              <w:ind w:firstLine="422"/>
              <w:jc w:val="both"/>
            </w:pPr>
            <w:r>
              <w:rPr>
                <w:rFonts w:ascii="仿宋_GB2312" w:hAnsi="仿宋_GB2312" w:cs="仿宋_GB2312" w:eastAsia="仿宋_GB2312"/>
                <w:sz w:val="21"/>
                <w:b/>
                <w:u w:val="single"/>
              </w:rPr>
              <w:t>若供应商提供虚假发票，将上报监管部门。</w:t>
            </w:r>
          </w:p>
          <w:p>
            <w:pPr>
              <w:pStyle w:val="null3"/>
              <w:ind w:firstLine="422"/>
              <w:jc w:val="both"/>
            </w:pPr>
            <w:r>
              <w:rPr>
                <w:rFonts w:ascii="仿宋_GB2312" w:hAnsi="仿宋_GB2312" w:cs="仿宋_GB2312" w:eastAsia="仿宋_GB2312"/>
                <w:sz w:val="21"/>
                <w:b/>
              </w:rPr>
              <w:t>四、其它要求：</w:t>
            </w:r>
          </w:p>
          <w:p>
            <w:pPr>
              <w:pStyle w:val="null3"/>
              <w:ind w:firstLine="420"/>
              <w:jc w:val="both"/>
            </w:pPr>
            <w:r>
              <w:rPr>
                <w:rFonts w:ascii="仿宋_GB2312" w:hAnsi="仿宋_GB2312" w:cs="仿宋_GB2312" w:eastAsia="仿宋_GB2312"/>
                <w:sz w:val="21"/>
              </w:rPr>
              <w:t>1、供应商需为教职工营造舒心的体检氛围及体检服务，体检服务需与应标情况相符，采购人在体检中有等待的职工时，供应商不得自行结束调换体检时间地点。</w:t>
            </w:r>
          </w:p>
          <w:p>
            <w:pPr>
              <w:pStyle w:val="null3"/>
              <w:ind w:firstLine="420"/>
              <w:jc w:val="both"/>
            </w:pPr>
            <w:r>
              <w:rPr>
                <w:rFonts w:ascii="仿宋_GB2312" w:hAnsi="仿宋_GB2312" w:cs="仿宋_GB2312" w:eastAsia="仿宋_GB2312"/>
                <w:sz w:val="21"/>
              </w:rPr>
              <w:t>2、体检时若因供应商所提供的体检设施造成的院内二次感染，所产生的后续治疗费用及责任由供应商承担。</w:t>
            </w:r>
          </w:p>
          <w:p>
            <w:pPr>
              <w:pStyle w:val="null3"/>
              <w:ind w:firstLine="420"/>
              <w:jc w:val="left"/>
            </w:pPr>
            <w:r>
              <w:rPr>
                <w:rFonts w:ascii="仿宋_GB2312" w:hAnsi="仿宋_GB2312" w:cs="仿宋_GB2312" w:eastAsia="仿宋_GB2312"/>
                <w:sz w:val="21"/>
              </w:rPr>
              <w:t>3、采购人参检人员的所有信息及检查结果，供应商不得向除采购人所提供的联系人之外的任何机构和人员透露。若因供应商未有效对参检人员信息及检查结果做好数据做好保密工作，所造成的信息的外泄，供应商承担相应的法律责任。</w:t>
            </w:r>
          </w:p>
          <w:p>
            <w:pPr>
              <w:pStyle w:val="null3"/>
              <w:ind w:firstLine="422"/>
              <w:jc w:val="both"/>
            </w:pPr>
            <w:r>
              <w:rPr>
                <w:rFonts w:ascii="仿宋_GB2312" w:hAnsi="仿宋_GB2312" w:cs="仿宋_GB2312" w:eastAsia="仿宋_GB2312"/>
                <w:sz w:val="21"/>
                <w:b/>
              </w:rPr>
              <w:t>4、供应商由于应检项目重大失误造成漏诊或者误诊的，由供应商承担采购人患病人员一切治疗及其他相关费用。</w:t>
            </w:r>
          </w:p>
          <w:p>
            <w:pPr>
              <w:pStyle w:val="null3"/>
              <w:ind w:firstLine="420"/>
              <w:jc w:val="left"/>
            </w:pPr>
            <w:r>
              <w:rPr>
                <w:rFonts w:ascii="仿宋_GB2312" w:hAnsi="仿宋_GB2312" w:cs="仿宋_GB2312" w:eastAsia="仿宋_GB2312"/>
                <w:sz w:val="21"/>
                <w:b/>
              </w:rPr>
              <w:t>5、供应商在进行体检时，不得以问诊的方式引导教职工进行不必要的额外体检，如经查实将从履约保证金中扣除相关金额。</w:t>
            </w:r>
          </w:p>
          <w:p>
            <w:pPr>
              <w:pStyle w:val="null3"/>
              <w:ind w:firstLine="422"/>
              <w:jc w:val="both"/>
            </w:pPr>
            <w:r>
              <w:rPr>
                <w:rFonts w:ascii="仿宋_GB2312" w:hAnsi="仿宋_GB2312" w:cs="仿宋_GB2312" w:eastAsia="仿宋_GB2312"/>
                <w:sz w:val="21"/>
                <w:b/>
              </w:rPr>
              <w:t>备注：</w:t>
            </w:r>
          </w:p>
          <w:p>
            <w:pPr>
              <w:pStyle w:val="null3"/>
              <w:ind w:firstLine="422"/>
              <w:jc w:val="both"/>
            </w:pPr>
            <w:r>
              <w:rPr>
                <w:rFonts w:ascii="仿宋_GB2312" w:hAnsi="仿宋_GB2312" w:cs="仿宋_GB2312" w:eastAsia="仿宋_GB2312"/>
                <w:sz w:val="21"/>
                <w:b/>
              </w:rPr>
              <w:t>附件</w:t>
            </w:r>
            <w:r>
              <w:rPr>
                <w:rFonts w:ascii="仿宋_GB2312" w:hAnsi="仿宋_GB2312" w:cs="仿宋_GB2312" w:eastAsia="仿宋_GB2312"/>
                <w:sz w:val="21"/>
                <w:b/>
              </w:rPr>
              <w:t>1体检项目表内体检项目为重点参考项目，供应商可以在此基础上增、减项目，制定适合高校教职工的最合理体检项目方案。（男、女项目方案分开制定）。</w:t>
            </w:r>
          </w:p>
          <w:p>
            <w:pPr>
              <w:pStyle w:val="null3"/>
              <w:spacing w:after="120"/>
              <w:jc w:val="both"/>
            </w:pPr>
            <w:r>
              <w:rPr>
                <w:rFonts w:ascii="仿宋_GB2312" w:hAnsi="仿宋_GB2312" w:cs="仿宋_GB2312" w:eastAsia="仿宋_GB2312"/>
                <w:sz w:val="21"/>
                <w:b/>
              </w:rPr>
              <w:t>附件</w:t>
            </w:r>
            <w:r>
              <w:rPr>
                <w:rFonts w:ascii="仿宋_GB2312" w:hAnsi="仿宋_GB2312" w:cs="仿宋_GB2312" w:eastAsia="仿宋_GB2312"/>
                <w:sz w:val="21"/>
                <w:b/>
              </w:rPr>
              <w:t>1</w:t>
            </w:r>
          </w:p>
          <w:p>
            <w:pPr>
              <w:pStyle w:val="null3"/>
              <w:jc w:val="center"/>
            </w:pPr>
            <w:r>
              <w:rPr>
                <w:rFonts w:ascii="仿宋_GB2312" w:hAnsi="仿宋_GB2312" w:cs="仿宋_GB2312" w:eastAsia="仿宋_GB2312"/>
                <w:sz w:val="21"/>
                <w:b/>
              </w:rPr>
              <w:t>基础体检项目参考表</w:t>
            </w:r>
          </w:p>
          <w:tbl>
            <w:tblPr>
              <w:tblBorders>
                <w:top w:val="none" w:color="000000" w:sz="4"/>
                <w:left w:val="none" w:color="000000" w:sz="4"/>
                <w:bottom w:val="none" w:color="000000" w:sz="4"/>
                <w:right w:val="none" w:color="000000" w:sz="4"/>
                <w:insideH w:val="none"/>
                <w:insideV w:val="none"/>
              </w:tblBorders>
            </w:tblPr>
            <w:tblGrid>
              <w:gridCol w:w="724"/>
              <w:gridCol w:w="1012"/>
              <w:gridCol w:w="576"/>
              <w:gridCol w:w="871"/>
            </w:tblGrid>
            <w:tr>
              <w:tc>
                <w:tcPr>
                  <w:tcW w:type="dxa" w:w="7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项</w:t>
                  </w:r>
                  <w:r>
                    <w:rPr>
                      <w:rFonts w:ascii="仿宋_GB2312" w:hAnsi="仿宋_GB2312" w:cs="仿宋_GB2312" w:eastAsia="仿宋_GB2312"/>
                      <w:sz w:val="21"/>
                      <w:b/>
                    </w:rPr>
                    <w:t xml:space="preserve">  </w:t>
                  </w:r>
                  <w:r>
                    <w:rPr>
                      <w:rFonts w:ascii="仿宋_GB2312" w:hAnsi="仿宋_GB2312" w:cs="仿宋_GB2312" w:eastAsia="仿宋_GB2312"/>
                      <w:sz w:val="21"/>
                      <w:b/>
                    </w:rPr>
                    <w:t>目</w:t>
                  </w:r>
                </w:p>
              </w:tc>
              <w:tc>
                <w:tcPr>
                  <w:tcW w:type="dxa" w:w="10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分</w:t>
                  </w:r>
                  <w:r>
                    <w:rPr>
                      <w:rFonts w:ascii="仿宋_GB2312" w:hAnsi="仿宋_GB2312" w:cs="仿宋_GB2312" w:eastAsia="仿宋_GB2312"/>
                      <w:sz w:val="21"/>
                      <w:b/>
                    </w:rPr>
                    <w:t xml:space="preserve">  </w:t>
                  </w:r>
                  <w:r>
                    <w:rPr>
                      <w:rFonts w:ascii="仿宋_GB2312" w:hAnsi="仿宋_GB2312" w:cs="仿宋_GB2312" w:eastAsia="仿宋_GB2312"/>
                      <w:sz w:val="21"/>
                      <w:b/>
                    </w:rPr>
                    <w:t>项</w:t>
                  </w:r>
                </w:p>
              </w:tc>
              <w:tc>
                <w:tcPr>
                  <w:tcW w:type="dxa" w:w="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报</w:t>
                  </w:r>
                  <w:r>
                    <w:rPr>
                      <w:rFonts w:ascii="仿宋_GB2312" w:hAnsi="仿宋_GB2312" w:cs="仿宋_GB2312" w:eastAsia="仿宋_GB2312"/>
                      <w:sz w:val="21"/>
                      <w:b/>
                    </w:rPr>
                    <w:t>价</w:t>
                  </w:r>
                </w:p>
              </w:tc>
              <w:tc>
                <w:tcPr>
                  <w:tcW w:type="dxa" w:w="8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说</w:t>
                  </w:r>
                  <w:r>
                    <w:rPr>
                      <w:rFonts w:ascii="仿宋_GB2312" w:hAnsi="仿宋_GB2312" w:cs="仿宋_GB2312" w:eastAsia="仿宋_GB2312"/>
                      <w:sz w:val="21"/>
                      <w:b/>
                    </w:rPr>
                    <w:t>明</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医技检查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心电图</w:t>
                  </w:r>
                </w:p>
                <w:p>
                  <w:pPr>
                    <w:pStyle w:val="null3"/>
                    <w:jc w:val="center"/>
                  </w:pPr>
                  <w:r>
                    <w:rPr>
                      <w:rFonts w:ascii="仿宋_GB2312" w:hAnsi="仿宋_GB2312" w:cs="仿宋_GB2312" w:eastAsia="仿宋_GB2312"/>
                      <w:sz w:val="21"/>
                    </w:rPr>
                    <w:t>肺功能检测</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眼科、眼压、眼底、检查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影像学检查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胸部</w:t>
                  </w:r>
                  <w:r>
                    <w:rPr>
                      <w:rFonts w:ascii="仿宋_GB2312" w:hAnsi="仿宋_GB2312" w:cs="仿宋_GB2312" w:eastAsia="仿宋_GB2312"/>
                      <w:sz w:val="21"/>
                    </w:rPr>
                    <w:t>CT检查</w:t>
                  </w:r>
                </w:p>
                <w:p>
                  <w:pPr>
                    <w:pStyle w:val="null3"/>
                    <w:jc w:val="center"/>
                  </w:pPr>
                  <w:r>
                    <w:rPr>
                      <w:rFonts w:ascii="仿宋_GB2312" w:hAnsi="仿宋_GB2312" w:cs="仿宋_GB2312" w:eastAsia="仿宋_GB2312"/>
                      <w:sz w:val="21"/>
                    </w:rPr>
                    <w:t>颈椎正侧位</w:t>
                  </w:r>
                  <w:r>
                    <w:rPr>
                      <w:rFonts w:ascii="仿宋_GB2312" w:hAnsi="仿宋_GB2312" w:cs="仿宋_GB2312" w:eastAsia="仿宋_GB2312"/>
                      <w:sz w:val="21"/>
                    </w:rPr>
                    <w:t>DR检查</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如果有更合理、准确的检查方式可以替换</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化验室检查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血常规五分类</w:t>
                  </w:r>
                </w:p>
                <w:p>
                  <w:pPr>
                    <w:pStyle w:val="null3"/>
                    <w:jc w:val="center"/>
                  </w:pPr>
                  <w:r>
                    <w:rPr>
                      <w:rFonts w:ascii="仿宋_GB2312" w:hAnsi="仿宋_GB2312" w:cs="仿宋_GB2312" w:eastAsia="仿宋_GB2312"/>
                      <w:sz w:val="21"/>
                    </w:rPr>
                    <w:t>血脂</w:t>
                  </w:r>
                  <w:r>
                    <w:rPr>
                      <w:rFonts w:ascii="仿宋_GB2312" w:hAnsi="仿宋_GB2312" w:cs="仿宋_GB2312" w:eastAsia="仿宋_GB2312"/>
                      <w:sz w:val="21"/>
                    </w:rPr>
                    <w:t>6项</w:t>
                  </w:r>
                </w:p>
                <w:p>
                  <w:pPr>
                    <w:pStyle w:val="null3"/>
                    <w:jc w:val="center"/>
                  </w:pPr>
                  <w:r>
                    <w:rPr>
                      <w:rFonts w:ascii="仿宋_GB2312" w:hAnsi="仿宋_GB2312" w:cs="仿宋_GB2312" w:eastAsia="仿宋_GB2312"/>
                      <w:sz w:val="21"/>
                    </w:rPr>
                    <w:t>空腹血糖</w:t>
                  </w:r>
                </w:p>
                <w:p>
                  <w:pPr>
                    <w:pStyle w:val="null3"/>
                    <w:jc w:val="center"/>
                  </w:pPr>
                  <w:r>
                    <w:rPr>
                      <w:rFonts w:ascii="仿宋_GB2312" w:hAnsi="仿宋_GB2312" w:cs="仿宋_GB2312" w:eastAsia="仿宋_GB2312"/>
                      <w:sz w:val="21"/>
                    </w:rPr>
                    <w:t>乙肝</w:t>
                  </w:r>
                  <w:r>
                    <w:rPr>
                      <w:rFonts w:ascii="仿宋_GB2312" w:hAnsi="仿宋_GB2312" w:cs="仿宋_GB2312" w:eastAsia="仿宋_GB2312"/>
                      <w:sz w:val="21"/>
                    </w:rPr>
                    <w:t>5项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u w:val="single"/>
                    </w:rPr>
                    <w:t>注：所做方案中的血脂六项与血流变内容若有重复项可取消。</w:t>
                  </w: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肝胆功能检查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肝功</w:t>
                  </w:r>
                  <w:r>
                    <w:rPr>
                      <w:rFonts w:ascii="仿宋_GB2312" w:hAnsi="仿宋_GB2312" w:cs="仿宋_GB2312" w:eastAsia="仿宋_GB2312"/>
                      <w:sz w:val="21"/>
                    </w:rPr>
                    <w:t>10项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肾功能检查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肾功能</w:t>
                  </w:r>
                  <w:r>
                    <w:rPr>
                      <w:rFonts w:ascii="仿宋_GB2312" w:hAnsi="仿宋_GB2312" w:cs="仿宋_GB2312" w:eastAsia="仿宋_GB2312"/>
                      <w:sz w:val="21"/>
                    </w:rPr>
                    <w:t>4项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彩</w:t>
                  </w:r>
                  <w:r>
                    <w:rPr>
                      <w:rFonts w:ascii="仿宋_GB2312" w:hAnsi="仿宋_GB2312" w:cs="仿宋_GB2312" w:eastAsia="仿宋_GB2312"/>
                      <w:sz w:val="21"/>
                    </w:rPr>
                    <w:t xml:space="preserve">   </w:t>
                  </w:r>
                  <w:r>
                    <w:rPr>
                      <w:rFonts w:ascii="仿宋_GB2312" w:hAnsi="仿宋_GB2312" w:cs="仿宋_GB2312" w:eastAsia="仿宋_GB2312"/>
                      <w:sz w:val="21"/>
                    </w:rPr>
                    <w:t>超</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心脏彩超</w:t>
                  </w:r>
                </w:p>
                <w:p>
                  <w:pPr>
                    <w:pStyle w:val="null3"/>
                    <w:jc w:val="center"/>
                  </w:pPr>
                  <w:r>
                    <w:rPr>
                      <w:rFonts w:ascii="仿宋_GB2312" w:hAnsi="仿宋_GB2312" w:cs="仿宋_GB2312" w:eastAsia="仿宋_GB2312"/>
                      <w:sz w:val="21"/>
                    </w:rPr>
                    <w:t>颈动脉彩超</w:t>
                  </w:r>
                </w:p>
                <w:p>
                  <w:pPr>
                    <w:pStyle w:val="null3"/>
                    <w:jc w:val="center"/>
                  </w:pPr>
                  <w:r>
                    <w:rPr>
                      <w:rFonts w:ascii="仿宋_GB2312" w:hAnsi="仿宋_GB2312" w:cs="仿宋_GB2312" w:eastAsia="仿宋_GB2312"/>
                      <w:sz w:val="21"/>
                    </w:rPr>
                    <w:t>甲状腺彩超</w:t>
                  </w:r>
                </w:p>
                <w:p>
                  <w:pPr>
                    <w:pStyle w:val="null3"/>
                    <w:jc w:val="center"/>
                  </w:pPr>
                  <w:r>
                    <w:rPr>
                      <w:rFonts w:ascii="仿宋_GB2312" w:hAnsi="仿宋_GB2312" w:cs="仿宋_GB2312" w:eastAsia="仿宋_GB2312"/>
                      <w:sz w:val="21"/>
                    </w:rPr>
                    <w:t>腹部超声</w:t>
                  </w:r>
                </w:p>
                <w:p>
                  <w:pPr>
                    <w:pStyle w:val="null3"/>
                    <w:jc w:val="center"/>
                  </w:pPr>
                  <w:r>
                    <w:rPr>
                      <w:rFonts w:ascii="仿宋_GB2312" w:hAnsi="仿宋_GB2312" w:cs="仿宋_GB2312" w:eastAsia="仿宋_GB2312"/>
                      <w:sz w:val="21"/>
                    </w:rPr>
                    <w:t>男性前列腺、膀胱、输尿管彩超</w:t>
                  </w:r>
                </w:p>
                <w:p>
                  <w:pPr>
                    <w:pStyle w:val="null3"/>
                    <w:jc w:val="center"/>
                  </w:pPr>
                  <w:r>
                    <w:rPr>
                      <w:rFonts w:ascii="仿宋_GB2312" w:hAnsi="仿宋_GB2312" w:cs="仿宋_GB2312" w:eastAsia="仿宋_GB2312"/>
                      <w:sz w:val="21"/>
                    </w:rPr>
                    <w:t>女性盆腔彩超</w:t>
                  </w:r>
                </w:p>
                <w:p>
                  <w:pPr>
                    <w:pStyle w:val="null3"/>
                    <w:jc w:val="center"/>
                  </w:pPr>
                  <w:r>
                    <w:rPr>
                      <w:rFonts w:ascii="仿宋_GB2312" w:hAnsi="仿宋_GB2312" w:cs="仿宋_GB2312" w:eastAsia="仿宋_GB2312"/>
                      <w:sz w:val="21"/>
                    </w:rPr>
                    <w:t>女性乳腺彩超</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心血管疾病检查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血流变检查</w:t>
                  </w:r>
                </w:p>
                <w:p>
                  <w:pPr>
                    <w:pStyle w:val="null3"/>
                    <w:jc w:val="center"/>
                  </w:pPr>
                  <w:r>
                    <w:rPr>
                      <w:rFonts w:ascii="仿宋_GB2312" w:hAnsi="仿宋_GB2312" w:cs="仿宋_GB2312" w:eastAsia="仿宋_GB2312"/>
                      <w:sz w:val="21"/>
                    </w:rPr>
                    <w:t>（请标明检查每一单项内容）</w:t>
                  </w:r>
                </w:p>
                <w:p>
                  <w:pPr>
                    <w:pStyle w:val="null3"/>
                    <w:jc w:val="center"/>
                  </w:pPr>
                  <w:r>
                    <w:rPr>
                      <w:rFonts w:ascii="仿宋_GB2312" w:hAnsi="仿宋_GB2312" w:cs="仿宋_GB2312" w:eastAsia="仿宋_GB2312"/>
                      <w:sz w:val="21"/>
                    </w:rPr>
                    <w:t>同型半胱氨酸</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内分泌检查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甲状腺功能</w:t>
                  </w:r>
                  <w:r>
                    <w:rPr>
                      <w:rFonts w:ascii="仿宋_GB2312" w:hAnsi="仿宋_GB2312" w:cs="仿宋_GB2312" w:eastAsia="仿宋_GB2312"/>
                      <w:sz w:val="21"/>
                    </w:rPr>
                    <w:t>5项</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骨密度检查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骨密度</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动脉血管硬度检测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脑血流检查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脑血流</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基因检测</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肿瘤标志物</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早期肿瘤相关物质检测</w:t>
                  </w:r>
                </w:p>
                <w:p>
                  <w:pPr>
                    <w:pStyle w:val="null3"/>
                    <w:jc w:val="center"/>
                  </w:pPr>
                  <w:r>
                    <w:rPr>
                      <w:rFonts w:ascii="仿宋_GB2312" w:hAnsi="仿宋_GB2312" w:cs="仿宋_GB2312" w:eastAsia="仿宋_GB2312"/>
                      <w:sz w:val="21"/>
                    </w:rPr>
                    <w:t>癌胚抗原</w:t>
                  </w:r>
                </w:p>
                <w:p>
                  <w:pPr>
                    <w:pStyle w:val="null3"/>
                    <w:jc w:val="center"/>
                  </w:pPr>
                  <w:r>
                    <w:rPr>
                      <w:rFonts w:ascii="仿宋_GB2312" w:hAnsi="仿宋_GB2312" w:cs="仿宋_GB2312" w:eastAsia="仿宋_GB2312"/>
                      <w:sz w:val="21"/>
                    </w:rPr>
                    <w:t>甲胎蛋白</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妇科检查</w:t>
                  </w:r>
                </w:p>
              </w:tc>
              <w:tc>
                <w:tcPr>
                  <w:tcW w:type="dxa" w:w="10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宫颈液基薄层细胞学检查</w:t>
                  </w:r>
                </w:p>
                <w:p>
                  <w:pPr>
                    <w:pStyle w:val="null3"/>
                    <w:jc w:val="center"/>
                  </w:pPr>
                  <w:r>
                    <w:rPr>
                      <w:rFonts w:ascii="仿宋_GB2312" w:hAnsi="仿宋_GB2312" w:cs="仿宋_GB2312" w:eastAsia="仿宋_GB2312"/>
                      <w:sz w:val="21"/>
                    </w:rPr>
                    <w:t>妇科内诊</w:t>
                  </w:r>
                </w:p>
              </w:tc>
              <w:tc>
                <w:tcPr>
                  <w:tcW w:type="dxa" w:w="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8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满足“技术参数与性能指标”的需求。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合同签订后至2026年8月31日前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初验：项目完成，供应商按约定完成所有服务，且服务质量无争议，视为初验合格。 终验：本项目最终验收须经采购方相关管理部门（国资管理等部门）审核确认，采购方可在最终付款前根据管理要求提出补充验收要求，供应商应无条件配合完成。最终验收合格并经采购方内部审批通过后，方可办理款项支付手续。 验收依据：合同文本，磋商文件，磋商响应文件，国内相应标准、规范等。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项目完成且双方无争议</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(1)按《中华人民共和国民法典》及有关法律 法规中的相关条款对违约情况进行处理；(2)未按合同要求提供服务或服务质量不能满足要求，采购人会同相关单位有权终止合同，并对违约方的违约行为进行追究，同时按有关法规进行相应的处罚。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报价采用折扣形式，即供应商对基础套餐包含体检项目的折扣，该折扣作为价格分评审依据。折扣=1-600/(基础体检方案男、女两类体检价格之和/2)×100%。例：男性基础体检价格合计为600元，女性基础体检价格合计为800元。则报价折扣为：1-600/[（600+800）/2]=14%（四舍五入）。基础方案外项目按折扣后的价格进行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满足政府采购法第二十二条证明材料.docx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提供经审计的2024或2025年度的财务报告或提交磋商响应文件截止时间前十二个月银行资信证明；或政府采购信用担保机构出具的投标担保函。</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提供磋商响应文件递交截止时间近十二个月内至少一个月已缴纳的纳税凭据或完税证明；依法免税的供应商应提供相关文件证明。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提供磋商响应文件截止时间前十二个月内已缴存的至少一个月的社会保障资金缴存单据或社保机构开具的社会保险参保缴费情况证明，依法不需要缴纳社会保障资金的单位应提供相关证明材料。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满足政府采购法第二十二条证明材料.docx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供应商具有区县级及以上卫生健康行政部门批准颁发的有效《医疗机构执业许可证》和卫生行政部门核准登记取得的《放射诊疗许可证》。</w:t>
            </w:r>
          </w:p>
        </w:tc>
        <w:tc>
          <w:tcPr>
            <w:tcW w:type="dxa" w:w="1661"/>
          </w:tcPr>
          <w:p>
            <w:pPr>
              <w:pStyle w:val="null3"/>
            </w:pPr>
            <w:r>
              <w:rPr>
                <w:rFonts w:ascii="仿宋_GB2312" w:hAnsi="仿宋_GB2312" w:cs="仿宋_GB2312" w:eastAsia="仿宋_GB2312"/>
              </w:rPr>
              <w:t>满足政府采购法第二十二条证明材料.docx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报价不得超过公布的采购预算或最高限价</w:t>
            </w:r>
          </w:p>
        </w:tc>
        <w:tc>
          <w:tcPr>
            <w:tcW w:type="dxa" w:w="3322"/>
          </w:tcPr>
          <w:p>
            <w:pPr>
              <w:pStyle w:val="null3"/>
            </w:pPr>
            <w:r>
              <w:rPr>
                <w:rFonts w:ascii="仿宋_GB2312" w:hAnsi="仿宋_GB2312" w:cs="仿宋_GB2312" w:eastAsia="仿宋_GB2312"/>
              </w:rPr>
              <w:t>报价不得超过公布的采购预算或最高限价，否则响应文件作为无效处理。</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商务响应情况</w:t>
            </w:r>
          </w:p>
        </w:tc>
        <w:tc>
          <w:tcPr>
            <w:tcW w:type="dxa" w:w="3322"/>
          </w:tcPr>
          <w:p>
            <w:pPr>
              <w:pStyle w:val="null3"/>
            </w:pPr>
            <w:r>
              <w:rPr>
                <w:rFonts w:ascii="仿宋_GB2312" w:hAnsi="仿宋_GB2312" w:cs="仿宋_GB2312" w:eastAsia="仿宋_GB2312"/>
              </w:rPr>
              <w:t>商务响应情况，若负偏离，响应文件作为无效处理。</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出现不符合法律、法规和竞争性磋商文件中规定的其他实质性要求的情况，响应文件作为无效处理。</w:t>
            </w:r>
          </w:p>
        </w:tc>
        <w:tc>
          <w:tcPr>
            <w:tcW w:type="dxa" w:w="1661"/>
          </w:tcPr>
          <w:p>
            <w:pPr>
              <w:pStyle w:val="null3"/>
            </w:pPr>
            <w:r>
              <w:rPr>
                <w:rFonts w:ascii="仿宋_GB2312" w:hAnsi="仿宋_GB2312" w:cs="仿宋_GB2312" w:eastAsia="仿宋_GB2312"/>
              </w:rPr>
              <w:t>响应文件封面 服务内容及服务邀请应答表 拒绝商业贿赂承诺书.docx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体检服务方案</w:t>
            </w:r>
          </w:p>
        </w:tc>
        <w:tc>
          <w:tcPr>
            <w:tcW w:type="dxa" w:w="2492"/>
          </w:tcPr>
          <w:p>
            <w:pPr>
              <w:pStyle w:val="null3"/>
            </w:pPr>
            <w:r>
              <w:rPr>
                <w:rFonts w:ascii="仿宋_GB2312" w:hAnsi="仿宋_GB2312" w:cs="仿宋_GB2312" w:eastAsia="仿宋_GB2312"/>
              </w:rPr>
              <w:t>一、评审内容：根据供应商提供的体检方案，包括但不限于：①体检专场服务方案；②提供营养早餐；③体检服务流程；④体检现场秩序维护；⑤健康管理方案。 二、评审标准： 1.完整性：内容全面，没有漏项； 2.准确性：描述准确，没有实质性错误、前后矛盾或明显的描述及逻辑错误； 3.针对性：方案能够紧扣项目实际情况，不存在套用其他项目方案内容的情况； 三、赋分标准：五项评审内容针对3项评分标准，每项标准完全满足得1分，存在瑕疵0.5分，存在缺陷0分。满分15分。 瑕疵是指存在不完全满足评分标准，但项目仍可实施。缺陷是指为不满足评分标准，严重影响项目实施。</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基础体检内容</w:t>
            </w:r>
          </w:p>
        </w:tc>
        <w:tc>
          <w:tcPr>
            <w:tcW w:type="dxa" w:w="2492"/>
          </w:tcPr>
          <w:p>
            <w:pPr>
              <w:pStyle w:val="null3"/>
            </w:pPr>
            <w:r>
              <w:rPr>
                <w:rFonts w:ascii="仿宋_GB2312" w:hAnsi="仿宋_GB2312" w:cs="仿宋_GB2312" w:eastAsia="仿宋_GB2312"/>
              </w:rPr>
              <w:t>根据供应商提供的基础体检套餐内容：内容全面，涵盖面广，在参考项目上有增加且性价比高得5分；内容基本全面，涵盖全部参考项目，性价比适中得3分；对参考项目有删减且整体套餐性价比低得1分。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设备配备情况</w:t>
            </w:r>
          </w:p>
        </w:tc>
        <w:tc>
          <w:tcPr>
            <w:tcW w:type="dxa" w:w="2492"/>
          </w:tcPr>
          <w:p>
            <w:pPr>
              <w:pStyle w:val="null3"/>
            </w:pPr>
            <w:r>
              <w:rPr>
                <w:rFonts w:ascii="仿宋_GB2312" w:hAnsi="仿宋_GB2312" w:cs="仿宋_GB2312" w:eastAsia="仿宋_GB2312"/>
              </w:rPr>
              <w:t>拟投入本项目体检的医疗设备根据本项目服务内容提供相对应的主要仪器体检设备图片及说明。 提供的仪器设备内容完善、设备设施先进、满足本项目要求的得8分；提供的仪器设备内容较完善、设备设施较先进、较能满足本项目要求的得6分；提供的仪器设备内容基本完善、设备设施基本先进、基本能满足本项目要求的得4分；提供的仪器设备内容部分完善、设备设施部分先进、部分能满足本项目要求的得2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医务团队人员配置</w:t>
            </w:r>
          </w:p>
        </w:tc>
        <w:tc>
          <w:tcPr>
            <w:tcW w:type="dxa" w:w="2492"/>
          </w:tcPr>
          <w:p>
            <w:pPr>
              <w:pStyle w:val="null3"/>
            </w:pPr>
            <w:r>
              <w:rPr>
                <w:rFonts w:ascii="仿宋_GB2312" w:hAnsi="仿宋_GB2312" w:cs="仿宋_GB2312" w:eastAsia="仿宋_GB2312"/>
              </w:rPr>
              <w:t>人员团队设置合理具备满足本项目需要，根据职称、工作年限、工作经验等情况自主赋分。人员团队配备方案完全满足需求，合理可行针对性强得8分；人员团队配备方案较能满足需求，较合理可行得6分；人员团队配备方案基本合理，基本满足项目需求得4分；人员团队配备方案合理性一般，针对性一般得2分；人员团队配备方案部分合理1分。未提供不得分。 注：需提供团队人员的相关证书复印件并加盖公章。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提供应急保障措施，对于各类突发事件(包括但不限于体检人晕针、晕血、低血糖、仪器伤害等)具有应急响应方案，措施需详细完整、切实可行，具备应急能力，以及配备应急处置反应时效、设备、药品、人员、场所等。 应急响应方案完善、切实可行、科学合理得10分；应急响应方案较完善、可行、较合理得7分；应急响应方案可行性基本完善、基本合理得3分；应急响应方案可行性部分完善、合理得1分。未提供不得分。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体检管理制度及保密方案</w:t>
            </w:r>
          </w:p>
        </w:tc>
        <w:tc>
          <w:tcPr>
            <w:tcW w:type="dxa" w:w="2492"/>
          </w:tcPr>
          <w:p>
            <w:pPr>
              <w:pStyle w:val="null3"/>
            </w:pPr>
            <w:r>
              <w:rPr>
                <w:rFonts w:ascii="仿宋_GB2312" w:hAnsi="仿宋_GB2312" w:cs="仿宋_GB2312" w:eastAsia="仿宋_GB2312"/>
              </w:rPr>
              <w:t>具有健全的体检管理制度及保密方案。 方案完善合理、保密程度高的得5分；方案较合理、保密程度一般的得6分；方案基本合理、保密程度低得1分。未提供不得分。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w:t>
            </w:r>
          </w:p>
        </w:tc>
        <w:tc>
          <w:tcPr>
            <w:tcW w:type="dxa" w:w="2492"/>
          </w:tcPr>
          <w:p>
            <w:pPr>
              <w:pStyle w:val="null3"/>
            </w:pPr>
            <w:r>
              <w:rPr>
                <w:rFonts w:ascii="仿宋_GB2312" w:hAnsi="仿宋_GB2312" w:cs="仿宋_GB2312" w:eastAsia="仿宋_GB2312"/>
              </w:rPr>
              <w:t>1.参选单位能够提供体检书面报告，得1分；未提供不得分。 2.参选单位能够提供电子体检报告，得1分；未提供不得分。 3.参选单位能够出具体检结果分析方案，得1分；未提供不得分。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体检报告方案</w:t>
            </w:r>
          </w:p>
        </w:tc>
        <w:tc>
          <w:tcPr>
            <w:tcW w:type="dxa" w:w="2492"/>
          </w:tcPr>
          <w:p>
            <w:pPr>
              <w:pStyle w:val="null3"/>
            </w:pPr>
            <w:r>
              <w:rPr>
                <w:rFonts w:ascii="仿宋_GB2312" w:hAnsi="仿宋_GB2312" w:cs="仿宋_GB2312" w:eastAsia="仿宋_GB2312"/>
              </w:rPr>
              <w:t>根据体检报告内容的全面性、体检结果分析程序的严谨性、问题处理流程的清晰度、体检后跟踪反馈机制的健全性等四项情况综合进行比较，报告方案合理可行、针对性强得5分；报告方案较合理、针对性强较强得3分；报告方案基本合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具备详细的后期跟踪、健康管理建议、健康风险评估服务。 后期跟踪服务及时、健康管理建议及风险评估完善，为需进一步检查者可提供便利服务的得5分；后期跟踪服务较及时、健康管理建议及风险评估较完善，为需进一步检查者可提供较便利服务的得3分；后期跟踪服务及时性一般、健康管理建议及风险评估部分完善，为需进一步检查者提供的服务便利性一般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体检场所环境、布局合理，医检分离、具有独立体检中心场地，交通便利得6分；体检场所环境、布局基本合理，具有独立体检中心场地，交通基本便利得4分；体检场所环境、布局部分合理，交通条件一般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根据其对服务期的响应、服务期内的质量、承诺各管理项目指标达到国家相关标准、不能完全履行服务承诺时接受处罚等情况做出实质性承诺。 提供的服务承诺完善详细得5分；提供的服务承诺较完善、较详细得3分；提供的服务承诺基本完善、基本详细得1分；未提供不得分。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为采购人提供与本项目体检相关的增值服务，若符合采购人的需求，每项增值服务得1分，满分5分。未提供不得分。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提供自2023年1月1日以来供应商承担的同类项目业绩，每提供1个得2分,最高5分（合同复印件加盖公章）。不提供不得分。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分值计算方法：P=10×Pmin/ Pn 其中：Pmin：所有有效磋商的最终最低报价。Pn：第n个供应商的最终报价。 计算分数时四舍五入取小数点后两位。（供应商报价为下浮折扣，下浮折扣越高视为磋商报价越低。）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详见附件：满足政府采购法第二十二条证明材料.docx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详见附件：拒绝商业贿赂承诺书.docx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