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版本号：SXHT-(CS)20260304.1B120260428001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质量奖宣传推广(二次)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SXHT-(CS)20260304.1B1</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质量奖宣传推广(二次)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SXHT-(CS)20260304.1B1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质量奖宣传推广(二次)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计划委托第三方机构开展质量奖宣传推广，为树立陕西质量标杆，提升质量品牌的知名度和影响力，示范带动更多企业牢固树立质量意识，加强质量管理，提高质量水平，推动高质量发展，委托第三方开展质量奖宣传推广，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2、法定代表人授权书：法定代表人授权书及身份证,被授权人须提供近半年内任意一个月的养老保险缴纳证明（法定代表人直接投标须提交法定代表人证明书及身份证）；</w:t>
      </w:r>
    </w:p>
    <w:p>
      <w:pPr>
        <w:pStyle w:val="null3"/>
      </w:pPr>
      <w:r>
        <w:rPr>
          <w:rFonts w:ascii="仿宋_GB2312" w:hAnsi="仿宋_GB2312" w:cs="仿宋_GB2312" w:eastAsia="仿宋_GB2312"/>
        </w:rPr>
        <w:t>3、财务状况报告：提供2024年度或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供应商提供2025年10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供应商提供2025年10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位应提供相关文件证明；</w:t>
      </w:r>
    </w:p>
    <w:p>
      <w:pPr>
        <w:pStyle w:val="null3"/>
      </w:pPr>
      <w:r>
        <w:rPr>
          <w:rFonts w:ascii="仿宋_GB2312" w:hAnsi="仿宋_GB2312" w:cs="仿宋_GB2312" w:eastAsia="仿宋_GB2312"/>
        </w:rPr>
        <w:t>6、重大违法记录：参加政府采购活动前3年内经营活动中没有重大违法记录声明；</w:t>
      </w:r>
    </w:p>
    <w:p>
      <w:pPr>
        <w:pStyle w:val="null3"/>
      </w:pPr>
      <w:r>
        <w:rPr>
          <w:rFonts w:ascii="仿宋_GB2312" w:hAnsi="仿宋_GB2312" w:cs="仿宋_GB2312" w:eastAsia="仿宋_GB2312"/>
        </w:rPr>
        <w:t>7、信用中国：通过“信用中国”网站（www.creditchina.gov.cn/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8、承诺函：提供具有履行服务合同所必需的设备和专业技术能力的承诺函；</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西安市雁塔区电子二路青松公寓二楼西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88236451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开户名称：陕西海堂项目管理咨询有限公司</w:t>
            </w:r>
          </w:p>
          <w:p>
            <w:pPr>
              <w:pStyle w:val="null3"/>
            </w:pPr>
            <w:r>
              <w:rPr>
                <w:rFonts w:ascii="仿宋_GB2312" w:hAnsi="仿宋_GB2312" w:cs="仿宋_GB2312" w:eastAsia="仿宋_GB2312"/>
              </w:rPr>
              <w:t>开户银行：中国建设银行股份有限公司西安文艺北路支行</w:t>
            </w:r>
          </w:p>
          <w:p>
            <w:pPr>
              <w:pStyle w:val="null3"/>
            </w:pPr>
            <w:r>
              <w:rPr>
                <w:rFonts w:ascii="仿宋_GB2312" w:hAnsi="仿宋_GB2312" w:cs="仿宋_GB2312" w:eastAsia="仿宋_GB2312"/>
              </w:rPr>
              <w:t>银行账号：61050172400000000275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2、招标代理服务费为依据&lt;&lt;招标代理服务收费管理暂行办法&gt;&gt;(计价格[2002]1980号)及&lt;&lt;关于降低部分建设项目收费标准规范收费行为等有关问题的通&gt;&gt;[2011]534号文件的规定标准计算，不足伍仟按伍仟元收取。3、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陕西海堂项目管理咨询有限公司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联系人：李姣</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地址：西安市雁塔区电子二路青松公寓二楼西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承担陕西省市场监督管理局质量奖宣传推广</w:t>
      </w:r>
      <w:r>
        <w:rPr>
          <w:rFonts w:ascii="仿宋_GB2312" w:hAnsi="仿宋_GB2312" w:cs="仿宋_GB2312" w:eastAsia="仿宋_GB2312"/>
          <w:sz w:val="24"/>
        </w:rPr>
        <w:t>，</w:t>
      </w:r>
      <w:r>
        <w:rPr>
          <w:rFonts w:ascii="仿宋_GB2312" w:hAnsi="仿宋_GB2312" w:cs="仿宋_GB2312" w:eastAsia="仿宋_GB2312"/>
          <w:sz w:val="24"/>
        </w:rPr>
        <w:t>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399,000.00</w:t>
      </w:r>
    </w:p>
    <w:p>
      <w:pPr>
        <w:pStyle w:val="null3"/>
      </w:pPr>
      <w:r>
        <w:rPr>
          <w:rFonts w:ascii="仿宋_GB2312" w:hAnsi="仿宋_GB2312" w:cs="仿宋_GB2312" w:eastAsia="仿宋_GB2312"/>
        </w:rPr>
        <w:t>采购包最高限价（元）: 399,000.00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质量奖宣传推广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标的名称：质量奖宣传推广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109"/>
            </w:tblGrid>
            <w:tr>
              <w:tc>
                <w:tcPr>
                  <w:tcW w:type="dxa" w:w="210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4"/>
                    </w:rPr>
                    <w:t>一、项目概况</w:t>
                  </w:r>
                </w:p>
                <w:p>
                  <w:pPr>
                    <w:pStyle w:val="null3"/>
                    <w:jc w:val="both"/>
                  </w:pPr>
                  <w:r>
                    <w:rPr>
                      <w:rFonts w:ascii="仿宋_GB2312" w:hAnsi="仿宋_GB2312" w:cs="仿宋_GB2312" w:eastAsia="仿宋_GB2312"/>
                      <w:sz w:val="24"/>
                    </w:rPr>
                    <w:t>计划委托第三方机构开展质量奖宣传推广，为树立陕西质量标杆，提升质量品牌的知名度和影响力，示范带动更多企业牢固树立质量意识，加强质量管理，提高质量水平，推动高质量发展，委托第三方开展质量奖宣传推广。内容包括：撰写《质量奖企业实践案例集》；媒体专版宣传；公共媒体宣传片制作及投放；组织质量大讲堂、开展现场观摩；海报等宣传品制作；桁架展板的内容整理以及设计、制作；工作交流片制作等。</w:t>
                  </w:r>
                </w:p>
                <w:p>
                  <w:pPr>
                    <w:pStyle w:val="null3"/>
                    <w:jc w:val="both"/>
                  </w:pPr>
                  <w:r>
                    <w:rPr>
                      <w:rFonts w:ascii="仿宋_GB2312" w:hAnsi="仿宋_GB2312" w:cs="仿宋_GB2312" w:eastAsia="仿宋_GB2312"/>
                      <w:sz w:val="24"/>
                    </w:rPr>
                    <w:t>二、技术要求</w:t>
                  </w:r>
                </w:p>
                <w:p>
                  <w:pPr>
                    <w:pStyle w:val="null3"/>
                    <w:jc w:val="both"/>
                  </w:pPr>
                  <w:r>
                    <w:rPr>
                      <w:rFonts w:ascii="仿宋_GB2312" w:hAnsi="仿宋_GB2312" w:cs="仿宋_GB2312" w:eastAsia="仿宋_GB2312"/>
                      <w:sz w:val="24"/>
                    </w:rPr>
                    <w:t>1.项目团队要求</w:t>
                  </w:r>
                </w:p>
                <w:p>
                  <w:pPr>
                    <w:pStyle w:val="null3"/>
                    <w:jc w:val="both"/>
                  </w:pPr>
                  <w:r>
                    <w:rPr>
                      <w:rFonts w:ascii="仿宋_GB2312" w:hAnsi="仿宋_GB2312" w:cs="仿宋_GB2312" w:eastAsia="仿宋_GB2312"/>
                      <w:sz w:val="24"/>
                    </w:rPr>
                    <w:t>组建不少于</w:t>
                  </w:r>
                  <w:r>
                    <w:rPr>
                      <w:rFonts w:ascii="仿宋_GB2312" w:hAnsi="仿宋_GB2312" w:cs="仿宋_GB2312" w:eastAsia="仿宋_GB2312"/>
                      <w:sz w:val="24"/>
                    </w:rPr>
                    <w:t>10人的专业服务</w:t>
                  </w:r>
                  <w:r>
                    <w:rPr>
                      <w:rFonts w:ascii="仿宋_GB2312" w:hAnsi="仿宋_GB2312" w:cs="仿宋_GB2312" w:eastAsia="仿宋_GB2312"/>
                      <w:sz w:val="24"/>
                    </w:rPr>
                    <w:t>团队。</w:t>
                  </w:r>
                </w:p>
                <w:p>
                  <w:pPr>
                    <w:pStyle w:val="null3"/>
                    <w:jc w:val="both"/>
                  </w:pPr>
                  <w:r>
                    <w:rPr>
                      <w:rFonts w:ascii="仿宋_GB2312" w:hAnsi="仿宋_GB2312" w:cs="仿宋_GB2312" w:eastAsia="仿宋_GB2312"/>
                      <w:sz w:val="24"/>
                    </w:rPr>
                    <w:t>2.项目团队人员配置要求</w:t>
                  </w:r>
                </w:p>
                <w:p>
                  <w:pPr>
                    <w:pStyle w:val="null3"/>
                    <w:jc w:val="both"/>
                  </w:pPr>
                  <w:r>
                    <w:rPr>
                      <w:rFonts w:ascii="仿宋_GB2312" w:hAnsi="仿宋_GB2312" w:cs="仿宋_GB2312" w:eastAsia="仿宋_GB2312"/>
                      <w:sz w:val="24"/>
                    </w:rPr>
                    <w:t>团队各岗位人员职责明确，需满足以下资质：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团队负责人：具有丰富的项目管理经验，熟悉相关领域业务，能够统筹推进项目整体实施</w:t>
                  </w:r>
                  <w:r>
                    <w:rPr>
                      <w:rFonts w:ascii="仿宋_GB2312" w:hAnsi="仿宋_GB2312" w:cs="仿宋_GB2312" w:eastAsia="仿宋_GB2312"/>
                      <w:sz w:val="24"/>
                    </w:rPr>
                    <w:t>，</w:t>
                  </w:r>
                  <w:r>
                    <w:rPr>
                      <w:rFonts w:ascii="仿宋_GB2312" w:hAnsi="仿宋_GB2312" w:cs="仿宋_GB2312" w:eastAsia="仿宋_GB2312"/>
                      <w:sz w:val="24"/>
                    </w:rPr>
                    <w:t>具备强的团队协调和领导能力</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2）案例点评人员：具备</w:t>
                  </w:r>
                  <w:r>
                    <w:rPr>
                      <w:rFonts w:ascii="仿宋_GB2312" w:hAnsi="仿宋_GB2312" w:cs="仿宋_GB2312" w:eastAsia="仿宋_GB2312"/>
                      <w:sz w:val="24"/>
                    </w:rPr>
                    <w:t>质量领域评审相关工作</w:t>
                  </w:r>
                  <w:r>
                    <w:rPr>
                      <w:rFonts w:ascii="仿宋_GB2312" w:hAnsi="仿宋_GB2312" w:cs="仿宋_GB2312" w:eastAsia="仿宋_GB2312"/>
                      <w:sz w:val="24"/>
                    </w:rPr>
                    <w:t>经验。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3）文稿撰写人员：具备较强的文字撰写能力，有相关撰稿工作经验。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4）设计制作人员：具备设计相关专业能力，能够独立完成平面设计、版式排版等相关工作。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5）视频制作人员：掌握视频拍摄、剪辑及后期制作技能，具备相关视频作品制作经验。</w:t>
                  </w:r>
                </w:p>
                <w:p>
                  <w:pPr>
                    <w:pStyle w:val="null3"/>
                    <w:jc w:val="both"/>
                  </w:pPr>
                  <w:r>
                    <w:rPr>
                      <w:rFonts w:ascii="仿宋_GB2312" w:hAnsi="仿宋_GB2312" w:cs="仿宋_GB2312" w:eastAsia="仿宋_GB2312"/>
                      <w:sz w:val="24"/>
                    </w:rPr>
                    <w:t>3.设备投入</w:t>
                  </w:r>
                </w:p>
                <w:p>
                  <w:pPr>
                    <w:pStyle w:val="null3"/>
                    <w:jc w:val="both"/>
                  </w:pPr>
                  <w:r>
                    <w:rPr>
                      <w:rFonts w:ascii="仿宋_GB2312" w:hAnsi="仿宋_GB2312" w:cs="仿宋_GB2312" w:eastAsia="仿宋_GB2312"/>
                      <w:sz w:val="24"/>
                    </w:rPr>
                    <w:t>须配备满足高质量宣传制作需求的专业设备，包括专业</w:t>
                  </w:r>
                  <w:r>
                    <w:rPr>
                      <w:rFonts w:ascii="仿宋_GB2312" w:hAnsi="仿宋_GB2312" w:cs="仿宋_GB2312" w:eastAsia="仿宋_GB2312"/>
                      <w:sz w:val="24"/>
                    </w:rPr>
                    <w:t>4K摄像机、照相机等摄影摄像器材不少于3台；配备专业灯光套装、便携式录音设备等辅助拍摄设备不少于5套；具备专业视频剪辑工作站、高清显示设备、后期制作软件等后期处理设备不少于3台，确保宣传片拍摄、图片采集、后期制作全流程设备稳定、画质清晰、音画同步，满足省级质量奖宣传推广工作标准与技术要求。</w:t>
                  </w:r>
                </w:p>
                <w:p>
                  <w:pPr>
                    <w:pStyle w:val="null3"/>
                    <w:jc w:val="both"/>
                  </w:pPr>
                  <w:r>
                    <w:rPr>
                      <w:rFonts w:ascii="仿宋_GB2312" w:hAnsi="仿宋_GB2312" w:cs="仿宋_GB2312" w:eastAsia="仿宋_GB2312"/>
                      <w:sz w:val="24"/>
                    </w:rPr>
                    <w:t>4.宣传推广影响力</w:t>
                  </w:r>
                </w:p>
                <w:p>
                  <w:pPr>
                    <w:pStyle w:val="null3"/>
                  </w:pPr>
                  <w:r>
                    <w:rPr>
                      <w:rFonts w:ascii="仿宋_GB2312" w:hAnsi="仿宋_GB2312" w:cs="仿宋_GB2312" w:eastAsia="仿宋_GB2312"/>
                      <w:sz w:val="24"/>
                    </w:rPr>
                    <w:t>对本次活动制作的文稿或者视频形成专题，要求主题明确、内容具体，有推广价值，并在官方媒体或者平台刊发。</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.《质量奖企业实践典型案例》</w:t>
                  </w:r>
                </w:p>
                <w:p>
                  <w:pPr>
                    <w:pStyle w:val="null3"/>
                    <w:jc w:val="both"/>
                  </w:pPr>
                  <w:r>
                    <w:rPr>
                      <w:rFonts w:ascii="仿宋_GB2312" w:hAnsi="仿宋_GB2312" w:cs="仿宋_GB2312" w:eastAsia="仿宋_GB2312"/>
                      <w:sz w:val="24"/>
                    </w:rPr>
                    <w:t>内容上，结构规范，对标标准；聚焦</w:t>
                  </w:r>
                  <w:r>
                    <w:rPr>
                      <w:rFonts w:ascii="仿宋_GB2312" w:hAnsi="仿宋_GB2312" w:cs="仿宋_GB2312" w:eastAsia="仿宋_GB2312"/>
                      <w:sz w:val="24"/>
                    </w:rPr>
                    <w:t>“卓越”，突出独特性；数据翔实，证实性强；逻辑清晰，展现整合性；语言精炼，突出亮点；点评专业，借鉴性强。设计上，由专业美编人员设计，结构清晰，版式新颖，图文并茂。</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.拍摄专题宣传片</w:t>
                  </w:r>
                </w:p>
                <w:p>
                  <w:pPr>
                    <w:pStyle w:val="null3"/>
                    <w:jc w:val="both"/>
                  </w:pPr>
                  <w:r>
                    <w:rPr>
                      <w:rFonts w:ascii="仿宋_GB2312" w:hAnsi="仿宋_GB2312" w:cs="仿宋_GB2312" w:eastAsia="仿宋_GB2312"/>
                      <w:sz w:val="24"/>
                    </w:rPr>
                    <w:t>(1)制作标准：逻辑准确、画面清晰、感染力强；</w:t>
                  </w:r>
                </w:p>
                <w:p>
                  <w:pPr>
                    <w:pStyle w:val="null3"/>
                    <w:jc w:val="both"/>
                  </w:pPr>
                  <w:r>
                    <w:rPr>
                      <w:rFonts w:ascii="仿宋_GB2312" w:hAnsi="仿宋_GB2312" w:cs="仿宋_GB2312" w:eastAsia="仿宋_GB2312"/>
                      <w:sz w:val="24"/>
                    </w:rPr>
                    <w:t>(2)内容要求：一是3分钟工作交流片；二是3分钟公共媒体宣传片。</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.桁架展板</w:t>
                  </w:r>
                </w:p>
                <w:p>
                  <w:pPr>
                    <w:pStyle w:val="null3"/>
                    <w:jc w:val="both"/>
                  </w:pPr>
                  <w:r>
                    <w:rPr>
                      <w:rFonts w:ascii="仿宋_GB2312" w:hAnsi="仿宋_GB2312" w:cs="仿宋_GB2312" w:eastAsia="仿宋_GB2312"/>
                      <w:sz w:val="24"/>
                    </w:rPr>
                    <w:t>整体设计大气，色彩明快、简洁；框架式结构，安装便捷、满足室内外安全搭建；文字、图案高清印刷。</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.质量大讲堂、实地观摩</w:t>
                  </w:r>
                </w:p>
                <w:p>
                  <w:pPr>
                    <w:pStyle w:val="null3"/>
                    <w:jc w:val="both"/>
                  </w:pPr>
                  <w:r>
                    <w:rPr>
                      <w:rFonts w:ascii="仿宋_GB2312" w:hAnsi="仿宋_GB2312" w:cs="仿宋_GB2312" w:eastAsia="仿宋_GB2312"/>
                      <w:sz w:val="24"/>
                    </w:rPr>
                    <w:t>(1)质量大讲堂：要求授课老师专业性强，经验丰富；语言力强，表达清晰。</w:t>
                  </w:r>
                </w:p>
                <w:p>
                  <w:pPr>
                    <w:pStyle w:val="null3"/>
                    <w:jc w:val="both"/>
                  </w:pPr>
                  <w:r>
                    <w:rPr>
                      <w:rFonts w:ascii="仿宋_GB2312" w:hAnsi="仿宋_GB2312" w:cs="仿宋_GB2312" w:eastAsia="仿宋_GB2312"/>
                      <w:sz w:val="24"/>
                    </w:rPr>
                    <w:t>(2)实地观摩：要求路线合理、讲解专业、感官性强。</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.海报等宣传品</w:t>
                  </w:r>
                </w:p>
                <w:p>
                  <w:pPr>
                    <w:pStyle w:val="null3"/>
                    <w:jc w:val="both"/>
                  </w:pPr>
                  <w:r>
                    <w:rPr>
                      <w:rFonts w:ascii="仿宋_GB2312" w:hAnsi="仿宋_GB2312" w:cs="仿宋_GB2312" w:eastAsia="仿宋_GB2312"/>
                      <w:sz w:val="24"/>
                    </w:rPr>
                    <w:t>围绕质量奖宣传主题，统一设计制作主题海报等系列宣传品，重点突出、内容明确；设计风格规范统一、视觉醒目、主题鲜明，兼具专业性与传播性，满足多场景使用需求。</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3、供应商需要在线提交所有通过电子化交易平台实施的政府采购项目的投标文件，同时，线下提交投标文件正本壹份、副本贰套、电子版贰套（U盘标明供应商名称）。 线下提交投标文件地点：于开标截止时间前。线下提交投标文件地点：西安市雁塔区电子二路青松公寓二楼西第一会议室。若电子投标文件与纸质投标文件不一致的，以电子投标文件为准；若正本和副本不符，以正本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自合同签订之日起至2026年11月中旬。</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符合国家验收规范的合格标准。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项目整体内容完成组织验收通过后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谈判供应商未全面履行合同义务或者发生违约，采购单位会同谈判组织机构有权终止合同，依法向成交谈判供应商进行经济索赔，并报请政府采购监督管理机关进行相应的行政处罚。采购单位违约的，应当赔偿给成交谈判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3、供应商需要在线提交所有通过电子化交易平台实施的政府采购项目的投标文件，同时，线下提交投标文件正本壹份、副本贰套、电子版贰套（U盘标明供应商名称）。 线下提交投标文件地点：于开标截止时间前。线下提交投标文件地点：西安市雁塔区电子二路青松公寓二楼西第一会议室。若电子投标文件与纸质投标文件不一致的，以电子投标文件为准；若正本和副本不符，以正本为准。 4、政府采购异常低价审查 (一)采购人应当在采购文件中明确，在政府采购评审中出现下列情形之一的，评审委员会应当启动异常低价投标(响应)审查程序: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3、投标(响应)报价低于采购项目最高限价45%的，即投标(响应)报价&lt;采购项目最高限价x45%； 4、评审委员会基于专业判断，认为投标人报价过低，有可能影响产品质量或者不能诚信履约的其他情形。采购人可以结合具体项目实际情况，提高上述第1项至第3项中启动异常低价投标(响应)审查的数值标准，但是最高不得超过65%。 相关法律法规对投标人报价有规定的，从其规定。 (二)评审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投标人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异常低价投标(响应)审查的启动原因、审查意见和审查结果应当在评审报告中记录，并随投标人提供的相关书面说明及证明材料，以及评审委员会有关互联网浏览、查询历史一并归档。 (三)各级财政部门应当加强对评审专家的指导和监管，进一步压实评审专家的责任。财政部门在投诉处理、监督检查中发现评审委员会未按规定对异常低价开展审查的， 依法予以纠正并追究评审专家的法律责任。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授权书.docx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 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服务内容及服务邀请应答表 授权书.docx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法定代表人授权书及身份证,被授权人须提供近半年内任意一个月的养老保险缴纳证明（法定代表人直接投标须提交法定代表人证明书及身份证）；</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磋商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10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10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位应提供相关文件证明；</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 授权书.docx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 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在磋商过程中，磋商小组认为供应商名称与营业执照、资质证书不一致，磋商小组应当将其响应文件作为无效处理。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响应文件的语言、计量单位、报价货币是否满足磋商文件要求</w:t>
            </w:r>
          </w:p>
        </w:tc>
        <w:tc>
          <w:tcPr>
            <w:tcW w:type="dxa" w:w="3322"/>
          </w:tcPr>
          <w:p>
            <w:pPr>
              <w:pStyle w:val="null3"/>
            </w:pPr>
            <w:r>
              <w:rPr>
                <w:rFonts w:ascii="仿宋_GB2312" w:hAnsi="仿宋_GB2312" w:cs="仿宋_GB2312" w:eastAsia="仿宋_GB2312"/>
              </w:rPr>
              <w:t>在磋商过程中，磋商小组认为响应文件的语言、计量单位、报价货币不满足磋商文件要求，磋商小组应当将其响应文件作为无效处理。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磋商有效期是否达到磋商文件要求</w:t>
            </w:r>
          </w:p>
        </w:tc>
        <w:tc>
          <w:tcPr>
            <w:tcW w:type="dxa" w:w="3322"/>
          </w:tcPr>
          <w:p>
            <w:pPr>
              <w:pStyle w:val="null3"/>
            </w:pPr>
            <w:r>
              <w:rPr>
                <w:rFonts w:ascii="仿宋_GB2312" w:hAnsi="仿宋_GB2312" w:cs="仿宋_GB2312" w:eastAsia="仿宋_GB2312"/>
              </w:rPr>
              <w:t>磋商有效期达不到磋商文件要求，磋商小组应当将其响应文件作为无效处理。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是否符合法律、法规和磋商文件中规定的其他实质性要求</w:t>
            </w:r>
          </w:p>
        </w:tc>
        <w:tc>
          <w:tcPr>
            <w:tcW w:type="dxa" w:w="3322"/>
          </w:tcPr>
          <w:p>
            <w:pPr>
              <w:pStyle w:val="null3"/>
            </w:pPr>
            <w:r>
              <w:rPr>
                <w:rFonts w:ascii="仿宋_GB2312" w:hAnsi="仿宋_GB2312" w:cs="仿宋_GB2312" w:eastAsia="仿宋_GB2312"/>
              </w:rPr>
              <w:t>在磋商过程中，磋商小组认为响应文件不符合法律、法规和磋商文件中规定的其他实质性要求，磋商小组应当将其响应文件作为无效处理。</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活动策划及组织实施方案</w:t>
            </w:r>
          </w:p>
        </w:tc>
        <w:tc>
          <w:tcPr>
            <w:tcW w:type="dxa" w:w="2492"/>
          </w:tcPr>
          <w:p>
            <w:pPr>
              <w:pStyle w:val="null3"/>
            </w:pPr>
            <w:r>
              <w:rPr>
                <w:rFonts w:ascii="仿宋_GB2312" w:hAnsi="仿宋_GB2312" w:cs="仿宋_GB2312" w:eastAsia="仿宋_GB2312"/>
              </w:rPr>
              <w:t>总体宣传推广服务方案，内容包括但不限于： 1、推广工作内容理解分析；2、提供宣传的整体思路；3、宣传推广整体策划方案；4、公共媒体宣传片制作及投放策划方案；5、线下观摩活动的策划方案；6、宣传推广质量控制方案；7、展板海报等宣传品策划方案；8、具有严格的内容发布、审核流程管理方案，整体媒体传播方案全面有针对性，能充分利用各类媒体，能够全方位多角度宣传本次质量奖的重点亮点，有效扩大活动传播力、影响力、覆盖面。 评审标准：①完善性：方案必须全面，对评审内容中的各项要求有详细阐述；②可实施性：切合本项目实际情况，提出步骤清晰、合理的方案；③针对性：方案能够紧扣项目实际情况，内容科学合理。上述8项评审内容全部满足评审标准得24分，每有一个评审内容缺项扣3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工作管理措施及人员管理制度：包括但不限于：1、工作管理制度；2、推广工作规程；3、工作管理机制；4、人员管理方案。 评审标准：①完善性：方案必须全面，对评审内容中的各项要求有详细阐述；②可实施性：切合本项目实际情况，提出步骤清晰、合理的方案；③针对性：方案能够紧扣项目实际情况，内容科学合理。上述4项评审内容全部满足评审标准得12分，每有一个评审内容缺项扣3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根据本项目实际需求及特点，制定进度保障方案，方案包括：1、各阶段工作流程；2、进度计划目标；3、进度控制措施评审标准。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9分，每有一个评审内容缺项扣3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设备保障方案</w:t>
            </w:r>
          </w:p>
        </w:tc>
        <w:tc>
          <w:tcPr>
            <w:tcW w:type="dxa" w:w="2492"/>
          </w:tcPr>
          <w:p>
            <w:pPr>
              <w:pStyle w:val="null3"/>
            </w:pPr>
            <w:r>
              <w:rPr>
                <w:rFonts w:ascii="仿宋_GB2312" w:hAnsi="仿宋_GB2312" w:cs="仿宋_GB2312" w:eastAsia="仿宋_GB2312"/>
              </w:rPr>
              <w:t>提供本次活动拟投入设备的保障方案，方案内容包括但不限于：1、设备型号、种类及数量；2、具备专业视频剪辑工作站、高清显示设备、后期制作软件等后期处理设备；3、承诺其成交后投入专业设备用于拍摄宣传内容；4、确保拍摄和后期制作效果能够达到项目要求。评审标准：①完善性：方案必须全面，对评审内容中的各项要求有详细阐述；②可实施性：切合本项目实际情况，提出步骤清晰、合理的方案；③针对性：方案能够紧扣项目实际情况，内容科学合理。上述4项评审内容全部满足评审标准得8分，每有一个评审内容缺项扣2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突发情况应急预案</w:t>
            </w:r>
          </w:p>
        </w:tc>
        <w:tc>
          <w:tcPr>
            <w:tcW w:type="dxa" w:w="2492"/>
          </w:tcPr>
          <w:p>
            <w:pPr>
              <w:pStyle w:val="null3"/>
            </w:pPr>
            <w:r>
              <w:rPr>
                <w:rFonts w:ascii="仿宋_GB2312" w:hAnsi="仿宋_GB2312" w:cs="仿宋_GB2312" w:eastAsia="仿宋_GB2312"/>
              </w:rPr>
              <w:t>供应商针对本项目可能发生突发情况的应急预案，内容包括但不限于：1、具备详细的紧急处置方案；2、完善的应急处理措施，处置方案及防护措施全部内容均能对项目开展提供保障作用；3、宣传推广过程中可能发生的突发情况应急措施。 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9分，每有一个评审内容缺项扣3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拟投入人员配备</w:t>
            </w:r>
          </w:p>
        </w:tc>
        <w:tc>
          <w:tcPr>
            <w:tcW w:type="dxa" w:w="2492"/>
          </w:tcPr>
          <w:p>
            <w:pPr>
              <w:pStyle w:val="null3"/>
            </w:pPr>
            <w:r>
              <w:rPr>
                <w:rFonts w:ascii="仿宋_GB2312" w:hAnsi="仿宋_GB2312" w:cs="仿宋_GB2312" w:eastAsia="仿宋_GB2312"/>
              </w:rPr>
              <w:t>组建不少于10人的专业服务团队，不满足基本团队成员配置要求，本项不得分。 1、团队负责人：拟派团队负责人具备质量领域相关经验（提供类似业绩）并具备副高级及以上职称,得3分，其余不得分； 2、案例点评人员：具备政府质量奖评审工作经验（提供相关证明材料）每具有1次上述工作经验得1分，最高得4分。 3、撰稿人：从事质量领域报道相关工作5年以上，并在媒体发表质量类专题文章不少于5篇（需提供相关证明材料）得3分，其余不得分； 4、设计制作人员：具有相关专业及工作经验，参与设计的作品不少于5次（提供相关证明材料）得2分，其余不得分； 5、视频制作人员：拥有质量类视频拍摄制作经验，成功完成质量类视频作品不少于5部（提供相关证明材料）得3分，其余不得分。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宣传推广影响力</w:t>
            </w:r>
          </w:p>
        </w:tc>
        <w:tc>
          <w:tcPr>
            <w:tcW w:type="dxa" w:w="2492"/>
          </w:tcPr>
          <w:p>
            <w:pPr>
              <w:pStyle w:val="null3"/>
            </w:pPr>
            <w:r>
              <w:rPr>
                <w:rFonts w:ascii="仿宋_GB2312" w:hAnsi="仿宋_GB2312" w:cs="仿宋_GB2312" w:eastAsia="仿宋_GB2312"/>
              </w:rPr>
              <w:t>提供在媒体刊发的质量类稿件，一篇的阅读量超过70万次的得5分；50万次-70万次的得2分，其余不得分。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供应商近三年（2023年03月01日起至近）具有类似项目业绩，每具有1项上述业绩得2分，最高得8分。 注：1.以合同签订时间或中标通知书时间为准，并提供加盖公章的复印件，复印件要求清晰，便于查验，合同中须体现所要求的关键信息，否则不计分； 2.同一份业绩不重复计分。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满足磋商文件要求且最终报价最低的供应商的价格为磋商基准价，其价格分为满分。其他供应商的价格分统一按照下列公式计算：磋商报价得分=（磋商基准价/最终磋商报价）×价格权值×100% 符合磋商文件规定的小微企业、监狱企业、残疾人福利企业优惠条件的供应商，价格给予10%的扣除，用扣除后的价格参与评审。注：计算分数时四舍五入取小数点后两位。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