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版本号：SXMF-2026-039.20260416002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省生物农业所实验楼维修改造项目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SXMF-2026-039.</w:t>
      </w:r>
      <w:r>
        <w:br/>
      </w:r>
      <w:r>
        <w:br/>
      </w:r>
      <w:r>
        <w:br/>
      </w:r>
    </w:p>
    <w:p>
      <w:pPr>
        <w:pStyle w:val="null3"/>
        <w:jc w:val="center"/>
        <w:outlineLvl w:val="2"/>
      </w:pPr>
      <w:r>
        <w:rPr>
          <w:rFonts w:ascii="仿宋_GB2312" w:hAnsi="仿宋_GB2312" w:cs="仿宋_GB2312" w:eastAsia="仿宋_GB2312"/>
          <w:sz w:val="28"/>
          <w:b/>
        </w:rPr>
        <w:t>陕西省生物农业研究所</w:t>
      </w:r>
    </w:p>
    <w:p>
      <w:pPr>
        <w:pStyle w:val="null3"/>
        <w:jc w:val="center"/>
        <w:outlineLvl w:val="2"/>
      </w:pPr>
      <w:r>
        <w:rPr>
          <w:rFonts w:ascii="仿宋_GB2312" w:hAnsi="仿宋_GB2312" w:cs="仿宋_GB2312" w:eastAsia="仿宋_GB2312"/>
          <w:sz w:val="28"/>
          <w:b/>
        </w:rPr>
        <w:t>陕西铭帆项目管理有限公司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陕西铭帆项目管理有限公司</w:t>
      </w:r>
      <w:r>
        <w:rPr>
          <w:rFonts w:ascii="仿宋_GB2312" w:hAnsi="仿宋_GB2312" w:cs="仿宋_GB2312" w:eastAsia="仿宋_GB2312"/>
        </w:rPr>
        <w:t>（以下简称“代理机构”）受</w:t>
      </w:r>
      <w:r>
        <w:rPr>
          <w:rFonts w:ascii="仿宋_GB2312" w:hAnsi="仿宋_GB2312" w:cs="仿宋_GB2312" w:eastAsia="仿宋_GB2312"/>
        </w:rPr>
        <w:t>陕西省生物农业研究所</w:t>
      </w:r>
      <w:r>
        <w:rPr>
          <w:rFonts w:ascii="仿宋_GB2312" w:hAnsi="仿宋_GB2312" w:cs="仿宋_GB2312" w:eastAsia="仿宋_GB2312"/>
        </w:rPr>
        <w:t>委托，拟对</w:t>
      </w:r>
      <w:r>
        <w:rPr>
          <w:rFonts w:ascii="仿宋_GB2312" w:hAnsi="仿宋_GB2312" w:cs="仿宋_GB2312" w:eastAsia="仿宋_GB2312"/>
        </w:rPr>
        <w:t>省生物农业所实验楼维修改造项目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SXMF-2026-039.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省生物农业所实验楼维修改造项目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生物农业研究所实验楼位于临潼区人民东路16号，建筑面积1761.57㎡，地上5层，投入使用近30年，因年久失修出现诸多安全问题。项目主要建设内容包括对实验楼屋面防水处理，墙顶地面修缮，更换门窗，更换给排水管道和卫生洁具，更换电气线路及灯具、开关、插座，更换暖气管道和散热器，增装分体空调，增设弱电系统。项目修缮面积建筑面积共计1761.57㎡，建设工期120天，概算总投资272万元，全部申请省经费支持。项目实施后彻底解决实验楼屋顶漏水、上下水管生锈腐蚀、裂缝、渗漏、水管爆裂等安全隐患，保障科研安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采购包1（省生物农业所实验楼维修改造项目）：属于专门面向中小企业采购。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1、企业资质：具备行政主管部门颁发的建筑工程施工总承包三级及以上资质，具备有效的安全生产许可证。</w:t>
      </w:r>
    </w:p>
    <w:p>
      <w:pPr>
        <w:pStyle w:val="null3"/>
      </w:pPr>
      <w:r>
        <w:rPr>
          <w:rFonts w:ascii="仿宋_GB2312" w:hAnsi="仿宋_GB2312" w:cs="仿宋_GB2312" w:eastAsia="仿宋_GB2312"/>
        </w:rPr>
        <w:t>2、拟派项目经理资质和专业要求：拟派项目经理须具备注册在本企业的建筑工程专业二级及以上注册建造师执业资格，具备有效的安全生产考核合格证书（建安 B 证），在本单位注册且无在建项目；</w:t>
      </w:r>
    </w:p>
    <w:p>
      <w:pPr>
        <w:pStyle w:val="null3"/>
      </w:pPr>
      <w:r>
        <w:rPr>
          <w:rFonts w:ascii="仿宋_GB2312" w:hAnsi="仿宋_GB2312" w:cs="仿宋_GB2312" w:eastAsia="仿宋_GB2312"/>
        </w:rPr>
        <w:t>3、 法定代表人授权委托书：法定代表人参加投标的，须出示身份证；法定代表人授权他人参加投标的，须提供法定代表人授权委托书、被授权人提交投标文件截止时间前两年内任意一个月的社会保障资金（养老保险或医疗保险）的缴纳证明及被授权人身份证。</w:t>
      </w:r>
    </w:p>
    <w:p>
      <w:pPr>
        <w:pStyle w:val="null3"/>
      </w:pPr>
      <w:r>
        <w:rPr>
          <w:rFonts w:ascii="仿宋_GB2312" w:hAnsi="仿宋_GB2312" w:cs="仿宋_GB2312" w:eastAsia="仿宋_GB2312"/>
        </w:rPr>
        <w:t>4、 陕西省建筑市场监管与诚信信息发布平台备案：供应商基本信息及项目经理（注册建造师）人员基本信息应在“陕西建设网（ http://js.shaanxi.gov.cn/ ）陕西省建筑市场监管与诚信信息发布平台可查询， 提供相关信息截图。</w:t>
      </w:r>
    </w:p>
    <w:p>
      <w:pPr>
        <w:pStyle w:val="null3"/>
      </w:pPr>
      <w:r>
        <w:rPr>
          <w:rFonts w:ascii="仿宋_GB2312" w:hAnsi="仿宋_GB2312" w:cs="仿宋_GB2312" w:eastAsia="仿宋_GB2312"/>
        </w:rPr>
        <w:t>5、声明函： 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陕西省生物农业研究所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陕西省西安市咸宁中路125号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13402960306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陕西铭帆项目管理有限公司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陕西省西安市未央区明光路龙腾半导体产业园B座307室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张琼超、赵露茹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029-88010883、15398096437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采购包1：2,385,323.90元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代理服务费收费标准：本项目招标代理服务费为人民币14000.00元（大写人民币壹万肆仟元整）。采购人在收到招标代理机构递交的本项目归档资料后七日内一次性支付。</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踏勘时间：2026-04-17 09:30:00</w:t>
            </w:r>
          </w:p>
          <w:p>
            <w:pPr>
              <w:pStyle w:val="null3"/>
              <w:ind w:firstLine="975"/>
            </w:pPr>
            <w:r>
              <w:rPr>
                <w:rFonts w:ascii="仿宋_GB2312" w:hAnsi="仿宋_GB2312" w:cs="仿宋_GB2312" w:eastAsia="仿宋_GB2312"/>
              </w:rPr>
              <w:t>踏勘地点：临潼区人民东路16号（因项目特性，未进行现场踏勘的供应商在投标响应过程中出现任何问题自行承担）</w:t>
            </w:r>
          </w:p>
          <w:p>
            <w:pPr>
              <w:pStyle w:val="null3"/>
              <w:ind w:firstLine="975"/>
            </w:pPr>
            <w:r>
              <w:rPr>
                <w:rFonts w:ascii="仿宋_GB2312" w:hAnsi="仿宋_GB2312" w:cs="仿宋_GB2312" w:eastAsia="仿宋_GB2312"/>
              </w:rPr>
              <w:t>联系人：张主任</w:t>
            </w:r>
          </w:p>
          <w:p>
            <w:pPr>
              <w:pStyle w:val="null3"/>
              <w:ind w:firstLine="975"/>
            </w:pPr>
            <w:r>
              <w:rPr>
                <w:rFonts w:ascii="仿宋_GB2312" w:hAnsi="仿宋_GB2312" w:cs="仿宋_GB2312" w:eastAsia="仿宋_GB2312"/>
              </w:rPr>
              <w:t>联系电话号码：13402960306</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陕西省生物农业研究所</w:t>
      </w:r>
      <w:r>
        <w:rPr>
          <w:rFonts w:ascii="仿宋_GB2312" w:hAnsi="仿宋_GB2312" w:cs="仿宋_GB2312" w:eastAsia="仿宋_GB2312"/>
        </w:rPr>
        <w:t>和</w:t>
      </w:r>
      <w:r>
        <w:rPr>
          <w:rFonts w:ascii="仿宋_GB2312" w:hAnsi="仿宋_GB2312" w:cs="仿宋_GB2312" w:eastAsia="仿宋_GB2312"/>
        </w:rPr>
        <w:t>陕西铭帆项目管理有限公司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陕西省生物农业研究所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陕西铭帆项目管理有限公司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陕西省生物农业研究所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陕西铭帆项目管理有限公司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一、符合国家现行有关施工质量验收规范“合格”标准。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陕西铭帆项目管理有限公司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陕西铭帆项目管理有限公司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陕西铭帆项目管理有限公司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联系人：张琼超、赵露茹</w:t>
      </w:r>
    </w:p>
    <w:p>
      <w:pPr>
        <w:pStyle w:val="null3"/>
      </w:pPr>
      <w:r>
        <w:rPr>
          <w:rFonts w:ascii="仿宋_GB2312" w:hAnsi="仿宋_GB2312" w:cs="仿宋_GB2312" w:eastAsia="仿宋_GB2312"/>
        </w:rPr>
        <w:t>联系电话：029-88010883、15398096437</w:t>
      </w:r>
    </w:p>
    <w:p>
      <w:pPr>
        <w:pStyle w:val="null3"/>
      </w:pPr>
      <w:r>
        <w:rPr>
          <w:rFonts w:ascii="仿宋_GB2312" w:hAnsi="仿宋_GB2312" w:cs="仿宋_GB2312" w:eastAsia="仿宋_GB2312"/>
        </w:rPr>
        <w:t>地址：陕西省西安市未央区明光路龙腾半导体产业园B座307室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2,385,323.90</w:t>
      </w:r>
    </w:p>
    <w:p>
      <w:pPr>
        <w:pStyle w:val="null3"/>
      </w:pPr>
      <w:r>
        <w:rPr>
          <w:rFonts w:ascii="仿宋_GB2312" w:hAnsi="仿宋_GB2312" w:cs="仿宋_GB2312" w:eastAsia="仿宋_GB2312"/>
        </w:rPr>
        <w:t>采购包最高限价（元）: 2,385,323.90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省生物农业所实验楼维修改造项目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2,385,323.90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标的名称：省生物农业所实验楼维修改造项目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9"/>
              </w:rPr>
              <w:t>工期：</w:t>
            </w:r>
            <w:r>
              <w:rPr>
                <w:rFonts w:ascii="仿宋_GB2312" w:hAnsi="仿宋_GB2312" w:cs="仿宋_GB2312" w:eastAsia="仿宋_GB2312"/>
                <w:sz w:val="21"/>
              </w:rPr>
              <w:t>120日历天</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9"/>
              </w:rPr>
              <w:t>质保期：项目竣工验收合格通过之日起</w:t>
            </w:r>
            <w:r>
              <w:rPr>
                <w:rFonts w:ascii="仿宋_GB2312" w:hAnsi="仿宋_GB2312" w:cs="仿宋_GB2312" w:eastAsia="仿宋_GB2312"/>
                <w:sz w:val="19"/>
              </w:rPr>
              <w:t>2年。</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0"/>
              </w:rPr>
              <w:t>付款方式：</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1）合同签订后7个工作日内，采购人向成交供应商支付合同总价款的30%作为预付款；</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2）项目竣工并通过验收合格后，</w:t>
            </w:r>
            <w:r>
              <w:rPr>
                <w:rFonts w:ascii="仿宋_GB2312" w:hAnsi="仿宋_GB2312" w:cs="仿宋_GB2312" w:eastAsia="仿宋_GB2312"/>
                <w:sz w:val="20"/>
              </w:rPr>
              <w:t>采购人向成交供应商</w:t>
            </w:r>
            <w:r>
              <w:rPr>
                <w:rFonts w:ascii="仿宋_GB2312" w:hAnsi="仿宋_GB2312" w:cs="仿宋_GB2312" w:eastAsia="仿宋_GB2312"/>
                <w:sz w:val="20"/>
              </w:rPr>
              <w:t>支付合同总价款的55%；</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3）项目经结算审计完成后，</w:t>
            </w:r>
            <w:r>
              <w:rPr>
                <w:rFonts w:ascii="仿宋_GB2312" w:hAnsi="仿宋_GB2312" w:cs="仿宋_GB2312" w:eastAsia="仿宋_GB2312"/>
                <w:sz w:val="20"/>
              </w:rPr>
              <w:t>采购人向成交供应商</w:t>
            </w:r>
            <w:r>
              <w:rPr>
                <w:rFonts w:ascii="仿宋_GB2312" w:hAnsi="仿宋_GB2312" w:cs="仿宋_GB2312" w:eastAsia="仿宋_GB2312"/>
                <w:sz w:val="20"/>
              </w:rPr>
              <w:t>支付至结算审计价的100%。在付款前成交供应商需向采购人提供合同总价款的3%作为质量保证金（保函/保险），采购人收到质量保证金（保函/保险）后，支付合同剩余价款（即结算审计剩余合同价款）。</w:t>
            </w:r>
          </w:p>
          <w:p>
            <w:pPr>
              <w:pStyle w:val="null3"/>
              <w:jc w:val="left"/>
            </w:pPr>
            <w:r>
              <w:rPr>
                <w:rFonts w:ascii="仿宋_GB2312" w:hAnsi="仿宋_GB2312" w:cs="仿宋_GB2312" w:eastAsia="仿宋_GB2312"/>
              </w:rPr>
              <w:t>备注：成交供应商需在每次提交付款申请时，同时向采购人提供与付款金额等值发票。</w:t>
            </w:r>
          </w:p>
          <w:p>
            <w:pPr>
              <w:pStyle w:val="null3"/>
            </w:pPr>
            <w:r>
              <w:rPr>
                <w:rFonts w:ascii="仿宋_GB2312" w:hAnsi="仿宋_GB2312" w:cs="仿宋_GB2312" w:eastAsia="仿宋_GB2312"/>
                <w:sz w:val="20"/>
              </w:rPr>
              <w:t>质量保证金（保函</w:t>
            </w:r>
            <w:r>
              <w:rPr>
                <w:rFonts w:ascii="仿宋_GB2312" w:hAnsi="仿宋_GB2312" w:cs="仿宋_GB2312" w:eastAsia="仿宋_GB2312"/>
                <w:sz w:val="20"/>
              </w:rPr>
              <w:t>/保险）在最长质量保修期满（2年）后退还。</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保修要求：属于保修范围和内容的项目，承包人应在接到维修通知后，</w:t>
            </w:r>
            <w:r>
              <w:rPr>
                <w:rFonts w:ascii="仿宋_GB2312" w:hAnsi="仿宋_GB2312" w:cs="仿宋_GB2312" w:eastAsia="仿宋_GB2312"/>
                <w:sz w:val="20"/>
              </w:rPr>
              <w:t>2天内派人维修。发生紧急抢修事故（如上水管跑水、爆裂，供电设施漏、断电等），承包人应在接到事故通知后2小时内到达事故现场并于24小时内完成应急维修；其他要求：乙方按照法律规定及合同约定完成工程施工，并在竣工以后的缺陷责任期及质量保修期内承担工程质量保修责任。</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采购标的对应的中小企业划分标准所属行业为建筑业。建筑业的划型标准为：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2.落实的政府采购政策： （1）《政府采购促进中小企业发展管理办法》（财库〔2020〕46号）； （2）《关于进一步加大政府采购支持中小企业力度的通知》（财库〔2022〕19号）； （3）《财政部司法部关于政府采购支持监狱企业发展有关问题的通知》（财库〔2014〕68号）； （4）《国务院办公厅关于建立政府强制采购节能产品制度的通知》（国办发〔2007〕51号）；（5）《关于印发环境标志产品政府采购品目清单的通知》（财库〔2019〕18号）； （6）《关于印发节能产品政府采购品目清单的通知》（财库〔2019〕19号）； （7）《关于促进残疾人就业政府采购政策的通知》财库〔2017〕141号； （8）《关于调整优化节能产品、环境标志产品政府采购执行机制的通知》（财库〔2019〕9号）； （9）《财政部农业农村部国家乡村振兴局关于运用政府采购政策支持乡村产业振兴的通知》（财库〔2021〕19号）； （10）《陕西省中小企业政府采购信用融资办法》（陕财办采〔2018〕23号）； （11）《陕西省财政厅关于加快推进我省中小企业政府采购信用融资工作的通知》（陕财办采〔2020〕15号）； （12）《陕西省财政厅关于进一步加强政府绿色采购有关问题的通知》（陕财办采〔2021〕29号）； （13）其他需要落实的政府采购政策。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1、具有独立承担民事责任能力的法人、其他组织或自然人，并出具合法有效的营业执照或事业单位法人证书等国家规定的相关证明，自然人参与的提供其身份证明； 2、财务状况报告：（以下四种资料选择任意一种提供）｛注：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响应文件提交截止日一年内银行出具的资信证明，④供应商注册时间截至响应文件提交截止日不足一年的，也可提供在工商管理部门备案的公司章程。｝ 供应商需在项目电子化交易系统中按要求上传相应证明文件并进行电子签章。 3、税收缴纳证明：提供响应文件截止时间一年内至少一个月的依法缴纳税收的相关凭据（时间以税款所属日期为准、税种须至少包含增值税或企业所得税），凭据应有税务机关或代收机关的公章或业务专用章。依法免税或无须缴纳税收的投标人，应提供相应证明文件；供应商需在项目电子化交易系统中按要求上传相应证明文件并进行电子签章。 4、社会保障资金缴纳证明：提供响应文件递交截止时间一年内至少一个月的社会保障资金缴存单据或社保机构开具的社会保险参保缴费情况证明，单据或证明上应有社保机构或代收机构的公章或业务专用章；（依法不需要缴纳社会保障资金的投标供应商应提供相关证明）供应商需在项目电子化交易系统中按要求上传相应证明文件并进行电子签章。 5、提供参加本次政府采购活动前三年内在经营活动中没有重大违法记录的书面声明及无不良信用记录查询结果（未被“信用中国”网站（www.creditchina.gov.cn）列入重大税收违法失信主体；不得被“中国执行信息公开网”（zxgk.court.gov.cn）列入失信被执行人名单；不得被“中国政府采购网”（www.ccgp.gov.cn）列入政府采购严重违法失信行为记录名单）；（提供“书面声明”、“信用中国”、“中国执行信息公开网”、“中国政府采购网”相应版块的查询结果截图加盖投标人公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参与本项目的供应商全部为符合政策要求的中小企业。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具备行政主管部门颁发的建筑工程施工总承包三级及以上资质，具备有效的安全生产许可证。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拟派项目经理须具备注册在本企业的建筑工程专业二级及以上注册建造师执业资格，具备有效的安全生产考核合格证书（建安 B 证），在本单位注册且无在建项目；</w:t>
            </w:r>
          </w:p>
        </w:tc>
        <w:tc>
          <w:tcPr>
            <w:tcW w:type="dxa" w:w="1661"/>
          </w:tcPr>
          <w:p>
            <w:pPr>
              <w:pStyle w:val="null3"/>
            </w:pPr>
            <w:r>
              <w:rPr>
                <w:rFonts w:ascii="仿宋_GB2312" w:hAnsi="仿宋_GB2312" w:cs="仿宋_GB2312" w:eastAsia="仿宋_GB2312"/>
              </w:rPr>
              <w:t>供应商应提交的相关资格证明材料 主要人员简历表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 xml:space="preserve"> 法定代表人授权委托书</w:t>
            </w:r>
          </w:p>
        </w:tc>
        <w:tc>
          <w:tcPr>
            <w:tcW w:type="dxa" w:w="3322"/>
          </w:tcPr>
          <w:p>
            <w:pPr>
              <w:pStyle w:val="null3"/>
            </w:pPr>
            <w:r>
              <w:rPr>
                <w:rFonts w:ascii="仿宋_GB2312" w:hAnsi="仿宋_GB2312" w:cs="仿宋_GB2312" w:eastAsia="仿宋_GB2312"/>
              </w:rPr>
              <w:t>法定代表人参加投标的，须出示身份证；法定代表人授权他人参加投标的，须提供法定代表人授权委托书、被授权人提交投标文件截止时间前两年内任意一个月的社会保障资金（养老保险或医疗保险）的缴纳证明及被授权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 xml:space="preserve"> 陕西省建筑市场监管与诚信信息发布平台备案</w:t>
            </w:r>
          </w:p>
        </w:tc>
        <w:tc>
          <w:tcPr>
            <w:tcW w:type="dxa" w:w="3322"/>
          </w:tcPr>
          <w:p>
            <w:pPr>
              <w:pStyle w:val="null3"/>
            </w:pPr>
            <w:r>
              <w:rPr>
                <w:rFonts w:ascii="仿宋_GB2312" w:hAnsi="仿宋_GB2312" w:cs="仿宋_GB2312" w:eastAsia="仿宋_GB2312"/>
              </w:rPr>
              <w:t>供应商基本信息及项目经理（注册建造师）人员基本信息应在“陕西建设网（ http://js.shaanxi.gov.cn/ ）陕西省建筑市场监管与诚信信息发布平台可查询， 提供相关信息截图。</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 xml:space="preserve"> 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 3、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如委托第三方机构编制工程量清单，应在投标文件中附与第三方机构签订的委托协议和注册造价工程师证件）</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至少以下三处的项目名称、项目编号、合同包（未分合同包的除外）与本项目完全一致： （1）投标文件封面 （2）投标函 （3）法定代表人（负责人）委托授权书\身份证明</w:t>
            </w:r>
          </w:p>
        </w:tc>
        <w:tc>
          <w:tcPr>
            <w:tcW w:type="dxa" w:w="1661"/>
          </w:tcPr>
          <w:p>
            <w:pPr>
              <w:pStyle w:val="null3"/>
            </w:pPr>
            <w:r>
              <w:rPr>
                <w:rFonts w:ascii="仿宋_GB2312" w:hAnsi="仿宋_GB2312" w:cs="仿宋_GB2312" w:eastAsia="仿宋_GB2312"/>
              </w:rPr>
              <w:t>响应文件封面 报价函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响应文件组成</w:t>
            </w:r>
          </w:p>
        </w:tc>
        <w:tc>
          <w:tcPr>
            <w:tcW w:type="dxa" w:w="3322"/>
          </w:tcPr>
          <w:p>
            <w:pPr>
              <w:pStyle w:val="null3"/>
            </w:pPr>
            <w:r>
              <w:rPr>
                <w:rFonts w:ascii="仿宋_GB2312" w:hAnsi="仿宋_GB2312" w:cs="仿宋_GB2312" w:eastAsia="仿宋_GB2312"/>
              </w:rPr>
              <w:t>响应文件完整且编排有序，响应内容基本完整，无重大错漏；</w:t>
            </w:r>
          </w:p>
        </w:tc>
        <w:tc>
          <w:tcPr>
            <w:tcW w:type="dxa" w:w="1661"/>
          </w:tcPr>
          <w:p>
            <w:pPr>
              <w:pStyle w:val="null3"/>
            </w:pPr>
            <w:r>
              <w:rPr>
                <w:rFonts w:ascii="仿宋_GB2312" w:hAnsi="仿宋_GB2312" w:cs="仿宋_GB2312" w:eastAsia="仿宋_GB2312"/>
              </w:rPr>
              <w:t>已标价工程量清单 中小企业声明函 技术方案 技术服务合同条款及其他商务要求应答表 供应商应提交的相关资格证明材料 响应文件封面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同时满足以下条款： （1）货币单位符合采购文件要求（2）报价符合唯一性要求 （3）未超出采购预算或最高限价</w:t>
            </w:r>
          </w:p>
        </w:tc>
        <w:tc>
          <w:tcPr>
            <w:tcW w:type="dxa" w:w="1661"/>
          </w:tcPr>
          <w:p>
            <w:pPr>
              <w:pStyle w:val="null3"/>
            </w:pPr>
            <w:r>
              <w:rPr>
                <w:rFonts w:ascii="仿宋_GB2312" w:hAnsi="仿宋_GB2312" w:cs="仿宋_GB2312" w:eastAsia="仿宋_GB2312"/>
              </w:rPr>
              <w:t>已标价工程量清单 报价函 技术服务合同条款及其他商务要求应答表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完全理解并响应采购文件合同条款的要求，且未含有采购人不能接受的附加条件的</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符合法律、法规和竞争性磋商中规定的其他实质性要求</w:t>
            </w:r>
          </w:p>
        </w:tc>
        <w:tc>
          <w:tcPr>
            <w:tcW w:type="dxa" w:w="3322"/>
          </w:tcPr>
          <w:p>
            <w:pPr>
              <w:pStyle w:val="null3"/>
            </w:pPr>
            <w:r>
              <w:rPr>
                <w:rFonts w:ascii="仿宋_GB2312" w:hAnsi="仿宋_GB2312" w:cs="仿宋_GB2312" w:eastAsia="仿宋_GB2312"/>
              </w:rPr>
              <w:t>是否符合法律、法规和竞争性磋商文件中规定的其他实质性要求</w:t>
            </w:r>
          </w:p>
        </w:tc>
        <w:tc>
          <w:tcPr>
            <w:tcW w:type="dxa" w:w="1661"/>
          </w:tcPr>
          <w:p>
            <w:pPr>
              <w:pStyle w:val="null3"/>
            </w:pPr>
            <w:r>
              <w:rPr>
                <w:rFonts w:ascii="仿宋_GB2312" w:hAnsi="仿宋_GB2312" w:cs="仿宋_GB2312" w:eastAsia="仿宋_GB2312"/>
              </w:rPr>
              <w:t>报价函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1）措施内容完整、全面、可行性较强，得(5-8]分； 2) 措施内容较完善，可行性一般，得(3-5]分； 3) 措施内容一般，可行性较差，得[1-3]分。 未提供的不计分。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确保安全施工的技术组织措施</w:t>
            </w:r>
          </w:p>
        </w:tc>
        <w:tc>
          <w:tcPr>
            <w:tcW w:type="dxa" w:w="2492"/>
          </w:tcPr>
          <w:p>
            <w:pPr>
              <w:pStyle w:val="null3"/>
            </w:pPr>
            <w:r>
              <w:rPr>
                <w:rFonts w:ascii="仿宋_GB2312" w:hAnsi="仿宋_GB2312" w:cs="仿宋_GB2312" w:eastAsia="仿宋_GB2312"/>
              </w:rPr>
              <w:t>1）措施内容完整、全面、可行性较强，得(5-8]分； 2) 措施内容较完善，可行性一般，得(3-5]分； 3) 措施内容一般，可行性较差，得[1-3]分。 未提供的不计分。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1）措施内容完整、全面、可行性较强，得(5-8]分； 2) 措施内容较完善，可行性一般，得(3-5]分； 3) 措施内容一般，可行性较差，得[1-3]分。 未提供的不计分。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1）措施内容完整、全面、可行性较强，得(5-8]分； 2) 措施内容较完善，可行性一般，得(3-5]分； 3) 措施内容一般，可行性较差，得[1-3]分。 未提供的不计分。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1）方案内容完整、全面、可行性较强，得(6-9]分； 2) 方案内容较完善，可行性一般，得(3-6]分； 3) 方案内容一般，可行性较差，得[1-3]分。 未提供的不计分。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1）内容完整、全面、可行性较强，得(5-8]分； 2) 内容较完善，可行性一般，得(3-5]分； 3) 内容一般，可行性较差，得[1-3]分。 未提供的不计分。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1）内容完整、全面、可行性较强，得(5-8]分； 2) 内容较完善，可行性一般，得(3-5]分； 3) 内容一般，可行性较差，得[1-3]分。 未提供的不计分。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劳动力安排计划及劳务分包情况表</w:t>
            </w:r>
          </w:p>
        </w:tc>
        <w:tc>
          <w:tcPr>
            <w:tcW w:type="dxa" w:w="2492"/>
          </w:tcPr>
          <w:p>
            <w:pPr>
              <w:pStyle w:val="null3"/>
            </w:pPr>
            <w:r>
              <w:rPr>
                <w:rFonts w:ascii="仿宋_GB2312" w:hAnsi="仿宋_GB2312" w:cs="仿宋_GB2312" w:eastAsia="仿宋_GB2312"/>
              </w:rPr>
              <w:t>1）内容完整、全面、可行性较强，得(5-8]分； 2) 内容较完善，可行性一般，得(3-5]分； 3) 内容一般，可行性较差，得[1-3]分。 未提供的不计分。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提供2022年4月1日起至今，供应商承担的类似项目业绩（以响应文件中合同复印件为准），每提供1份有效业绩得2.5分，最多得5分。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1.经初审合格的响应文件，其响应报价为有效响应报价。 2.有效最低响应报价为基准价得30分。 3.按（有效最低响应报价/有效响应报价）×30的公式计算其得分。 4.响应报价不完整的，不进入评标标准价的计算，本项得0分。 5.经评委一致认定，供应商的响应报价低于公认市场成本，或超过采购预算,其响应文件将被拒绝。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详见附件：供应商应提交的相关资格证明材料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