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版本号：SZT2026-SN-SC-ZC-HW-021220260403001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胸部电阻抗断层成像仪采购项目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SZT2026-SN-SC-ZC-HW-0212</w:t>
      </w:r>
      <w:r>
        <w:br/>
      </w:r>
      <w:r>
        <w:br/>
      </w:r>
      <w:r>
        <w:br/>
      </w:r>
    </w:p>
    <w:p>
      <w:pPr>
        <w:pStyle w:val="null3"/>
        <w:jc w:val="center"/>
        <w:outlineLvl w:val="2"/>
      </w:pPr>
      <w:r>
        <w:rPr>
          <w:rFonts w:ascii="仿宋_GB2312" w:hAnsi="仿宋_GB2312" w:cs="仿宋_GB2312" w:eastAsia="仿宋_GB2312"/>
          <w:sz w:val="28"/>
          <w:b/>
        </w:rPr>
        <w:t>陕西中医药大学第二附属医院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陕西中医药大学第二附属医院</w:t>
      </w:r>
      <w:r>
        <w:rPr>
          <w:rFonts w:ascii="仿宋_GB2312" w:hAnsi="仿宋_GB2312" w:cs="仿宋_GB2312" w:eastAsia="仿宋_GB2312"/>
        </w:rPr>
        <w:t>委托，拟对</w:t>
      </w:r>
      <w:r>
        <w:rPr>
          <w:rFonts w:ascii="仿宋_GB2312" w:hAnsi="仿宋_GB2312" w:cs="仿宋_GB2312" w:eastAsia="仿宋_GB2312"/>
        </w:rPr>
        <w:t>胸部电阻抗断层成像仪采购项目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SZT2026-SN-SC-ZC-HW-0212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胸部电阻抗断层成像仪采购项目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胸部电阻抗断层成像仪采购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1、授权委托书：法定代表人直接参加投标的，须提供法定代表人身份证，并与营业执照上信息一致。法定代表人授权代表参加投标的，须提供法定代表人授权书</w:t>
      </w:r>
    </w:p>
    <w:p>
      <w:pPr>
        <w:pStyle w:val="null3"/>
      </w:pPr>
      <w:r>
        <w:rPr>
          <w:rFonts w:ascii="仿宋_GB2312" w:hAnsi="仿宋_GB2312" w:cs="仿宋_GB2312" w:eastAsia="仿宋_GB2312"/>
        </w:rPr>
        <w:t>2、医疗器械经营许可证或医疗器械经营备案证：供应商提供医疗器械经营许可证或医疗器械经营备案证</w:t>
      </w:r>
    </w:p>
    <w:p>
      <w:pPr>
        <w:pStyle w:val="null3"/>
      </w:pPr>
      <w:r>
        <w:rPr>
          <w:rFonts w:ascii="仿宋_GB2312" w:hAnsi="仿宋_GB2312" w:cs="仿宋_GB2312" w:eastAsia="仿宋_GB2312"/>
        </w:rPr>
        <w:t>3、所投产品属于医疗器械的提供生产厂家的医疗器械生产许可证或医疗器械生产备案证：所投产品属于医疗器械的提供生产厂家的医疗器械生产许可证或医疗器械生产备案证</w:t>
      </w:r>
    </w:p>
    <w:p>
      <w:pPr>
        <w:pStyle w:val="null3"/>
      </w:pPr>
      <w:r>
        <w:rPr>
          <w:rFonts w:ascii="仿宋_GB2312" w:hAnsi="仿宋_GB2312" w:cs="仿宋_GB2312" w:eastAsia="仿宋_GB2312"/>
        </w:rPr>
        <w:t>4、所投产品医疗器械注册证或医疗器械备案凭证：所投产品属于医疗器械的提供所投产品医疗器械注册证或医疗器械备案凭证，如非国家强制要求备案或注册的产品提供相关证明文件</w:t>
      </w:r>
    </w:p>
    <w:p>
      <w:pPr>
        <w:pStyle w:val="null3"/>
      </w:pPr>
      <w:r>
        <w:rPr>
          <w:rFonts w:ascii="仿宋_GB2312" w:hAnsi="仿宋_GB2312" w:cs="仿宋_GB2312" w:eastAsia="仿宋_GB2312"/>
        </w:rPr>
        <w:t>5、本项目不接受联合体投标：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陕西中医药大学第二附属医院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咸阳市渭阳西路5号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029-33350559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王馨、肖娇娇、毛冠奇、李文俊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开户名称：陕西中技招标有限公司(向我公司转账时，请备注清楚项目编号后四位)</w:t>
            </w:r>
          </w:p>
          <w:p>
            <w:pPr>
              <w:pStyle w:val="null3"/>
            </w:pPr>
            <w:r>
              <w:rPr>
                <w:rFonts w:ascii="仿宋_GB2312" w:hAnsi="仿宋_GB2312" w:cs="仿宋_GB2312" w:eastAsia="仿宋_GB2312"/>
              </w:rPr>
              <w:t>开户银行：招商银行西安分行营业部</w:t>
            </w:r>
          </w:p>
          <w:p>
            <w:pPr>
              <w:pStyle w:val="null3"/>
            </w:pPr>
            <w:r>
              <w:rPr>
                <w:rFonts w:ascii="仿宋_GB2312" w:hAnsi="仿宋_GB2312" w:cs="仿宋_GB2312" w:eastAsia="仿宋_GB2312"/>
              </w:rPr>
              <w:t>银行账号：1299 1681 2810 001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收取按照国家计委颁布的《招标代理服务收费管理暂行办法》（计价格[2002]1980号）和（发改办价格[2003]857号）货物类收费标准，按照中标金额差额定率累进法计算下浮50%收取（不足人民币陆仟元按陆仟元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陕西中医药大学第二附属医院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陕西中医药大学第二附属医院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陕西中医药大学第二附属医院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 戴工</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胸部电阻抗断层成像仪采购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625,000.00</w:t>
      </w:r>
    </w:p>
    <w:p>
      <w:pPr>
        <w:pStyle w:val="null3"/>
      </w:pPr>
      <w:r>
        <w:rPr>
          <w:rFonts w:ascii="仿宋_GB2312" w:hAnsi="仿宋_GB2312" w:cs="仿宋_GB2312" w:eastAsia="仿宋_GB2312"/>
        </w:rPr>
        <w:t>采购包最高限价（元）: 625,000.00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胸部电阻抗断层成像仪采购项目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标的名称：胸部电阻抗断层成像仪采购项目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240" w:after="240"/>
              <w:jc w:val="left"/>
            </w:pPr>
            <w:r>
              <w:rPr>
                <w:rFonts w:ascii="仿宋_GB2312" w:hAnsi="仿宋_GB2312" w:cs="仿宋_GB2312" w:eastAsia="仿宋_GB2312"/>
                <w:sz w:val="21"/>
                <w:b/>
                <w:color w:val="0F1115"/>
                <w:shd w:fill="FFFFFF" w:val="clear"/>
              </w:rPr>
              <w:t>胸部电阻抗断层成像仪（</w:t>
            </w:r>
            <w:r>
              <w:rPr>
                <w:rFonts w:ascii="仿宋_GB2312" w:hAnsi="仿宋_GB2312" w:cs="仿宋_GB2312" w:eastAsia="仿宋_GB2312"/>
                <w:sz w:val="21"/>
                <w:b/>
                <w:color w:val="0F1115"/>
                <w:shd w:fill="FFFFFF" w:val="clear"/>
              </w:rPr>
              <w:t>EIT）招标技术参数</w:t>
            </w:r>
          </w:p>
          <w:p>
            <w:pPr>
              <w:pStyle w:val="null3"/>
              <w:spacing w:before="240" w:after="240"/>
              <w:jc w:val="left"/>
            </w:pPr>
            <w:r>
              <w:rPr>
                <w:rFonts w:ascii="仿宋_GB2312" w:hAnsi="仿宋_GB2312" w:cs="仿宋_GB2312" w:eastAsia="仿宋_GB2312"/>
                <w:sz w:val="21"/>
                <w:b/>
                <w:color w:val="0F1115"/>
                <w:shd w:fill="FFFFFF" w:val="clear"/>
              </w:rPr>
              <w:t>一、</w:t>
            </w:r>
            <w:r>
              <w:rPr>
                <w:rFonts w:ascii="仿宋_GB2312" w:hAnsi="仿宋_GB2312" w:cs="仿宋_GB2312" w:eastAsia="仿宋_GB2312"/>
                <w:sz w:val="21"/>
                <w:b/>
                <w:color w:val="0F1115"/>
                <w:shd w:fill="FFFFFF" w:val="clear"/>
              </w:rPr>
              <w:t>技术</w:t>
            </w:r>
            <w:r>
              <w:rPr>
                <w:rFonts w:ascii="仿宋_GB2312" w:hAnsi="仿宋_GB2312" w:cs="仿宋_GB2312" w:eastAsia="仿宋_GB2312"/>
                <w:sz w:val="21"/>
                <w:b/>
                <w:color w:val="0F1115"/>
                <w:shd w:fill="FFFFFF" w:val="clear"/>
              </w:rPr>
              <w:t>要求</w:t>
            </w:r>
          </w:p>
          <w:p>
            <w:pPr>
              <w:pStyle w:val="null3"/>
              <w:spacing w:before="240" w:after="240"/>
              <w:jc w:val="left"/>
            </w:pPr>
            <w:r>
              <w:rPr>
                <w:rFonts w:ascii="仿宋_GB2312" w:hAnsi="仿宋_GB2312" w:cs="仿宋_GB2312" w:eastAsia="仿宋_GB2312"/>
                <w:sz w:val="21"/>
                <w:color w:val="0F1115"/>
                <w:shd w:fill="FFFFFF" w:val="clear"/>
              </w:rPr>
              <w:t>1. 胸部电阻抗断层成像仪</w:t>
            </w:r>
            <w:r>
              <w:rPr>
                <w:rFonts w:ascii="仿宋_GB2312" w:hAnsi="仿宋_GB2312" w:cs="仿宋_GB2312" w:eastAsia="仿宋_GB2312"/>
                <w:sz w:val="21"/>
                <w:color w:val="0F1115"/>
                <w:shd w:fill="FFFFFF" w:val="clear"/>
              </w:rPr>
              <w:t>为一体机。</w:t>
            </w:r>
          </w:p>
          <w:p>
            <w:pPr>
              <w:pStyle w:val="null3"/>
              <w:spacing w:before="240" w:after="240"/>
              <w:jc w:val="left"/>
            </w:pPr>
            <w:r>
              <w:rPr>
                <w:rFonts w:ascii="仿宋_GB2312" w:hAnsi="仿宋_GB2312" w:cs="仿宋_GB2312" w:eastAsia="仿宋_GB2312"/>
                <w:sz w:val="21"/>
                <w:color w:val="0F1115"/>
                <w:shd w:fill="FFFFFF" w:val="clear"/>
              </w:rPr>
              <w:t xml:space="preserve">2. </w:t>
            </w:r>
            <w:r>
              <w:rPr>
                <w:rFonts w:ascii="仿宋_GB2312" w:hAnsi="仿宋_GB2312" w:cs="仿宋_GB2312" w:eastAsia="仿宋_GB2312"/>
                <w:sz w:val="21"/>
                <w:b/>
                <w:color w:val="0F1115"/>
                <w:shd w:fill="FFFFFF" w:val="clear"/>
              </w:rPr>
              <w:t>适用范围</w:t>
            </w:r>
            <w:r>
              <w:rPr>
                <w:rFonts w:ascii="仿宋_GB2312" w:hAnsi="仿宋_GB2312" w:cs="仿宋_GB2312" w:eastAsia="仿宋_GB2312"/>
                <w:sz w:val="21"/>
                <w:color w:val="0F1115"/>
                <w:shd w:fill="FFFFFF" w:val="clear"/>
              </w:rPr>
              <w:t>：适用于成人与儿童患者的肺通气和血流灌注无创监测。</w:t>
            </w:r>
            <w:r>
              <w:br/>
            </w:r>
            <w:r>
              <w:rPr>
                <w:rFonts w:ascii="仿宋_GB2312" w:hAnsi="仿宋_GB2312" w:cs="仿宋_GB2312" w:eastAsia="仿宋_GB2312"/>
                <w:sz w:val="21"/>
                <w:color w:val="0F1115"/>
                <w:shd w:fill="FFFFFF" w:val="clear"/>
              </w:rPr>
              <w:t xml:space="preserve">3. </w:t>
            </w:r>
            <w:r>
              <w:rPr>
                <w:rFonts w:ascii="仿宋_GB2312" w:hAnsi="仿宋_GB2312" w:cs="仿宋_GB2312" w:eastAsia="仿宋_GB2312"/>
                <w:sz w:val="21"/>
                <w:b/>
                <w:color w:val="0F1115"/>
                <w:shd w:fill="FFFFFF" w:val="clear"/>
              </w:rPr>
              <w:t>供电方式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网电源（</w:t>
            </w:r>
            <w:r>
              <w:rPr>
                <w:rFonts w:ascii="仿宋_GB2312" w:hAnsi="仿宋_GB2312" w:cs="仿宋_GB2312" w:eastAsia="仿宋_GB2312"/>
                <w:sz w:val="21"/>
                <w:color w:val="0F1115"/>
                <w:shd w:fill="FFFFFF" w:val="clear"/>
              </w:rPr>
              <w:t>AC 220V）与内置电池双供电模式，电池续航时间</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6小时。</w:t>
            </w:r>
            <w:r>
              <w:br/>
            </w:r>
            <w:r>
              <w:rPr>
                <w:rFonts w:ascii="仿宋_GB2312" w:hAnsi="仿宋_GB2312" w:cs="仿宋_GB2312" w:eastAsia="仿宋_GB2312"/>
                <w:sz w:val="21"/>
                <w:color w:val="0F1115"/>
                <w:shd w:fill="FFFFFF" w:val="clear"/>
              </w:rPr>
              <w:t xml:space="preserve">4. </w:t>
            </w:r>
            <w:r>
              <w:rPr>
                <w:rFonts w:ascii="仿宋_GB2312" w:hAnsi="仿宋_GB2312" w:cs="仿宋_GB2312" w:eastAsia="仿宋_GB2312"/>
                <w:sz w:val="21"/>
                <w:b/>
                <w:color w:val="0F1115"/>
                <w:shd w:fill="FFFFFF" w:val="clear"/>
              </w:rPr>
              <w:t>屏幕要求</w:t>
            </w:r>
            <w:r>
              <w:rPr>
                <w:rFonts w:ascii="仿宋_GB2312" w:hAnsi="仿宋_GB2312" w:cs="仿宋_GB2312" w:eastAsia="仿宋_GB2312"/>
                <w:sz w:val="21"/>
                <w:color w:val="0F1115"/>
                <w:shd w:fill="FFFFFF" w:val="clear"/>
              </w:rPr>
              <w:t>：触摸屏尺寸</w:t>
            </w:r>
            <w:r>
              <w:rPr>
                <w:rFonts w:ascii="仿宋_GB2312" w:hAnsi="仿宋_GB2312" w:cs="仿宋_GB2312" w:eastAsia="仿宋_GB2312"/>
                <w:sz w:val="21"/>
                <w:color w:val="0F1115"/>
                <w:shd w:fill="FFFFFF" w:val="clear"/>
              </w:rPr>
              <w:t>≥10英寸，分辨率≥1280×</w:t>
            </w:r>
            <w:r>
              <w:rPr>
                <w:rFonts w:ascii="仿宋_GB2312" w:hAnsi="仿宋_GB2312" w:cs="仿宋_GB2312" w:eastAsia="仿宋_GB2312"/>
                <w:sz w:val="21"/>
                <w:color w:val="0F1115"/>
                <w:shd w:fill="FFFFFF" w:val="clear"/>
              </w:rPr>
              <w:t>800</w:t>
            </w:r>
            <w:r>
              <w:rPr>
                <w:rFonts w:ascii="仿宋_GB2312" w:hAnsi="仿宋_GB2312" w:cs="仿宋_GB2312" w:eastAsia="仿宋_GB2312"/>
                <w:sz w:val="21"/>
                <w:color w:val="0F1115"/>
                <w:shd w:fill="FFFFFF" w:val="clear"/>
              </w:rPr>
              <w:t>，亮度可调。</w:t>
            </w:r>
            <w:r>
              <w:br/>
            </w:r>
            <w:r>
              <w:rPr>
                <w:rFonts w:ascii="仿宋_GB2312" w:hAnsi="仿宋_GB2312" w:cs="仿宋_GB2312" w:eastAsia="仿宋_GB2312"/>
                <w:sz w:val="21"/>
                <w:color w:val="0F1115"/>
                <w:shd w:fill="FFFFFF" w:val="clear"/>
              </w:rPr>
              <w:t xml:space="preserve">5. </w:t>
            </w:r>
            <w:r>
              <w:rPr>
                <w:rFonts w:ascii="仿宋_GB2312" w:hAnsi="仿宋_GB2312" w:cs="仿宋_GB2312" w:eastAsia="仿宋_GB2312"/>
                <w:sz w:val="21"/>
                <w:b/>
                <w:color w:val="0F1115"/>
                <w:shd w:fill="FFFFFF" w:val="clear"/>
              </w:rPr>
              <w:t>便携性</w:t>
            </w:r>
            <w:r>
              <w:rPr>
                <w:rFonts w:ascii="仿宋_GB2312" w:hAnsi="仿宋_GB2312" w:cs="仿宋_GB2312" w:eastAsia="仿宋_GB2312"/>
                <w:sz w:val="21"/>
                <w:color w:val="0F1115"/>
                <w:shd w:fill="FFFFFF" w:val="clear"/>
              </w:rPr>
              <w:t>：主机重量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5</w:t>
            </w:r>
            <w:r>
              <w:rPr>
                <w:rFonts w:ascii="仿宋_GB2312" w:hAnsi="仿宋_GB2312" w:cs="仿宋_GB2312" w:eastAsia="仿宋_GB2312"/>
                <w:sz w:val="21"/>
                <w:color w:val="0F1115"/>
                <w:shd w:fill="FFFFFF" w:val="clear"/>
              </w:rPr>
              <w:t>kg。</w:t>
            </w:r>
            <w:r>
              <w:br/>
            </w:r>
            <w:r>
              <w:rPr>
                <w:rFonts w:ascii="仿宋_GB2312" w:hAnsi="仿宋_GB2312" w:cs="仿宋_GB2312" w:eastAsia="仿宋_GB2312"/>
                <w:sz w:val="21"/>
                <w:color w:val="0F1115"/>
                <w:shd w:fill="FFFFFF" w:val="clear"/>
              </w:rPr>
              <w:t xml:space="preserve">6. </w:t>
            </w:r>
            <w:r>
              <w:rPr>
                <w:rFonts w:ascii="仿宋_GB2312" w:hAnsi="仿宋_GB2312" w:cs="仿宋_GB2312" w:eastAsia="仿宋_GB2312"/>
                <w:sz w:val="21"/>
                <w:b/>
                <w:color w:val="0F1115"/>
                <w:shd w:fill="FFFFFF" w:val="clear"/>
              </w:rPr>
              <w:t>接口配置</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2个</w:t>
            </w:r>
            <w:r>
              <w:rPr>
                <w:rFonts w:ascii="仿宋_GB2312" w:hAnsi="仿宋_GB2312" w:cs="仿宋_GB2312" w:eastAsia="仿宋_GB2312"/>
                <w:sz w:val="21"/>
                <w:color w:val="0F1115"/>
                <w:shd w:fill="FFFFFF" w:val="clear"/>
              </w:rPr>
              <w:t>及以上</w:t>
            </w:r>
            <w:r>
              <w:rPr>
                <w:rFonts w:ascii="仿宋_GB2312" w:hAnsi="仿宋_GB2312" w:cs="仿宋_GB2312" w:eastAsia="仿宋_GB2312"/>
                <w:sz w:val="21"/>
                <w:color w:val="0F1115"/>
                <w:shd w:fill="FFFFFF" w:val="clear"/>
              </w:rPr>
              <w:t>USB接口，</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数据导出与外部设备连接。</w:t>
            </w:r>
          </w:p>
          <w:p>
            <w:pPr>
              <w:pStyle w:val="null3"/>
              <w:spacing w:before="240" w:after="240"/>
              <w:jc w:val="left"/>
            </w:pPr>
            <w:r>
              <w:rPr>
                <w:rFonts w:ascii="仿宋_GB2312" w:hAnsi="仿宋_GB2312" w:cs="仿宋_GB2312" w:eastAsia="仿宋_GB2312"/>
                <w:sz w:val="21"/>
                <w:color w:val="0F1115"/>
                <w:shd w:fill="FFFFFF" w:val="clear"/>
              </w:rPr>
              <w:t xml:space="preserve">▲7. </w:t>
            </w:r>
            <w:r>
              <w:rPr>
                <w:rFonts w:ascii="仿宋_GB2312" w:hAnsi="仿宋_GB2312" w:cs="仿宋_GB2312" w:eastAsia="仿宋_GB2312"/>
                <w:sz w:val="21"/>
                <w:b/>
                <w:color w:val="0F1115"/>
                <w:shd w:fill="FFFFFF" w:val="clear"/>
              </w:rPr>
              <w:t>成像模式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通气与灌注双模态同步监测，可同屏显示动态图像、状态图像及阻抗波形。</w:t>
            </w:r>
            <w:r>
              <w:br/>
            </w:r>
            <w:r>
              <w:rPr>
                <w:rFonts w:ascii="仿宋_GB2312" w:hAnsi="仿宋_GB2312" w:cs="仿宋_GB2312" w:eastAsia="仿宋_GB2312"/>
                <w:sz w:val="21"/>
                <w:color w:val="0F1115"/>
                <w:shd w:fill="FFFFFF" w:val="clear"/>
              </w:rPr>
              <w:t xml:space="preserve">8. </w:t>
            </w:r>
            <w:r>
              <w:rPr>
                <w:rFonts w:ascii="仿宋_GB2312" w:hAnsi="仿宋_GB2312" w:cs="仿宋_GB2312" w:eastAsia="仿宋_GB2312"/>
                <w:sz w:val="21"/>
                <w:b/>
                <w:color w:val="0F1115"/>
                <w:shd w:fill="FFFFFF" w:val="clear"/>
              </w:rPr>
              <w:t>成像速度</w:t>
            </w:r>
            <w:r>
              <w:rPr>
                <w:rFonts w:ascii="仿宋_GB2312" w:hAnsi="仿宋_GB2312" w:cs="仿宋_GB2312" w:eastAsia="仿宋_GB2312"/>
                <w:sz w:val="21"/>
                <w:color w:val="0F1115"/>
                <w:shd w:fill="FFFFFF" w:val="clear"/>
              </w:rPr>
              <w:t>：帧率</w:t>
            </w:r>
            <w:r>
              <w:rPr>
                <w:rFonts w:ascii="仿宋_GB2312" w:hAnsi="仿宋_GB2312" w:cs="仿宋_GB2312" w:eastAsia="仿宋_GB2312"/>
                <w:sz w:val="21"/>
                <w:color w:val="0F1115"/>
                <w:shd w:fill="FFFFFF" w:val="clear"/>
              </w:rPr>
              <w:t>≥20帧/秒，可调。</w:t>
            </w:r>
            <w:r>
              <w:br/>
            </w:r>
            <w:r>
              <w:rPr>
                <w:rFonts w:ascii="仿宋_GB2312" w:hAnsi="仿宋_GB2312" w:cs="仿宋_GB2312" w:eastAsia="仿宋_GB2312"/>
                <w:sz w:val="21"/>
                <w:color w:val="0F1115"/>
                <w:shd w:fill="FFFFFF" w:val="clear"/>
              </w:rPr>
              <w:t xml:space="preserve">9. </w:t>
            </w:r>
            <w:r>
              <w:rPr>
                <w:rFonts w:ascii="仿宋_GB2312" w:hAnsi="仿宋_GB2312" w:cs="仿宋_GB2312" w:eastAsia="仿宋_GB2312"/>
                <w:sz w:val="21"/>
                <w:b/>
                <w:color w:val="0F1115"/>
                <w:shd w:fill="FFFFFF" w:val="clear"/>
              </w:rPr>
              <w:t>ROI分析</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≥2种区域兴趣分析模式（如分层、象限）。</w:t>
            </w:r>
            <w:r>
              <w:br/>
            </w:r>
            <w:r>
              <w:rPr>
                <w:rFonts w:ascii="仿宋_GB2312" w:hAnsi="仿宋_GB2312" w:cs="仿宋_GB2312" w:eastAsia="仿宋_GB2312"/>
                <w:sz w:val="21"/>
                <w:color w:val="0F1115"/>
                <w:shd w:fill="FFFFFF" w:val="clear"/>
              </w:rPr>
              <w:t xml:space="preserve">10. </w:t>
            </w:r>
            <w:r>
              <w:rPr>
                <w:rFonts w:ascii="仿宋_GB2312" w:hAnsi="仿宋_GB2312" w:cs="仿宋_GB2312" w:eastAsia="仿宋_GB2312"/>
                <w:sz w:val="21"/>
                <w:b/>
                <w:color w:val="0F1115"/>
                <w:shd w:fill="FFFFFF" w:val="clear"/>
              </w:rPr>
              <w:t>趋势回顾</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≥120分钟的监测数据回顾，可进行任意两点间的阻抗比较与差值成像。</w:t>
            </w:r>
            <w:r>
              <w:br/>
            </w:r>
            <w:r>
              <w:rPr>
                <w:rFonts w:ascii="仿宋_GB2312" w:hAnsi="仿宋_GB2312" w:cs="仿宋_GB2312" w:eastAsia="仿宋_GB2312"/>
                <w:sz w:val="21"/>
                <w:color w:val="0F1115"/>
                <w:shd w:fill="FFFFFF" w:val="clear"/>
              </w:rPr>
              <w:t xml:space="preserve">11. </w:t>
            </w:r>
            <w:r>
              <w:rPr>
                <w:rFonts w:ascii="仿宋_GB2312" w:hAnsi="仿宋_GB2312" w:cs="仿宋_GB2312" w:eastAsia="仿宋_GB2312"/>
                <w:sz w:val="21"/>
                <w:b/>
                <w:color w:val="0F1115"/>
                <w:shd w:fill="FFFFFF" w:val="clear"/>
              </w:rPr>
              <w:t>实时参数显示</w:t>
            </w:r>
            <w:r>
              <w:rPr>
                <w:rFonts w:ascii="仿宋_GB2312" w:hAnsi="仿宋_GB2312" w:cs="仿宋_GB2312" w:eastAsia="仿宋_GB2312"/>
                <w:sz w:val="21"/>
                <w:color w:val="0F1115"/>
                <w:shd w:fill="FFFFFF" w:val="clear"/>
              </w:rPr>
              <w:t>：可实时显示全局与分区潮气量百分比、呼吸频率、阻抗曲线等。</w:t>
            </w:r>
            <w:r>
              <w:br/>
            </w:r>
            <w:r>
              <w:rPr>
                <w:rFonts w:ascii="仿宋_GB2312" w:hAnsi="仿宋_GB2312" w:cs="仿宋_GB2312" w:eastAsia="仿宋_GB2312"/>
                <w:sz w:val="21"/>
                <w:color w:val="0F1115"/>
                <w:shd w:fill="FFFFFF" w:val="clear"/>
              </w:rPr>
              <w:t xml:space="preserve">▲12. </w:t>
            </w:r>
            <w:r>
              <w:rPr>
                <w:rFonts w:ascii="仿宋_GB2312" w:hAnsi="仿宋_GB2312" w:cs="仿宋_GB2312" w:eastAsia="仿宋_GB2312"/>
                <w:sz w:val="21"/>
                <w:b/>
                <w:color w:val="0F1115"/>
                <w:shd w:fill="FFFFFF" w:val="clear"/>
              </w:rPr>
              <w:t>肺功能参数分析</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PEEP滴定、区域通气延迟（RVD）、通气中心（CoV）、肺顺应性等分析功能。</w:t>
            </w:r>
            <w:r>
              <w:br/>
            </w:r>
            <w:r>
              <w:rPr>
                <w:rFonts w:ascii="仿宋_GB2312" w:hAnsi="仿宋_GB2312" w:cs="仿宋_GB2312" w:eastAsia="仿宋_GB2312"/>
                <w:sz w:val="21"/>
                <w:color w:val="0F1115"/>
                <w:shd w:fill="FFFFFF" w:val="clear"/>
              </w:rPr>
              <w:t xml:space="preserve">13. </w:t>
            </w:r>
            <w:r>
              <w:rPr>
                <w:rFonts w:ascii="仿宋_GB2312" w:hAnsi="仿宋_GB2312" w:cs="仿宋_GB2312" w:eastAsia="仿宋_GB2312"/>
                <w:sz w:val="21"/>
                <w:b/>
                <w:color w:val="0F1115"/>
                <w:shd w:fill="FFFFFF" w:val="clear"/>
              </w:rPr>
              <w:t>V/Q匹配分析</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通气</w:t>
            </w:r>
            <w:r>
              <w:rPr>
                <w:rFonts w:ascii="仿宋_GB2312" w:hAnsi="仿宋_GB2312" w:cs="仿宋_GB2312" w:eastAsia="仿宋_GB2312"/>
                <w:sz w:val="21"/>
                <w:color w:val="0F1115"/>
                <w:shd w:fill="FFFFFF" w:val="clear"/>
              </w:rPr>
              <w:t>-血流匹配分析，可显示匹配分数、死腔通气与肺内分流情况。</w:t>
            </w:r>
            <w:r>
              <w:br/>
            </w:r>
            <w:r>
              <w:rPr>
                <w:rFonts w:ascii="仿宋_GB2312" w:hAnsi="仿宋_GB2312" w:cs="仿宋_GB2312" w:eastAsia="仿宋_GB2312"/>
                <w:sz w:val="21"/>
                <w:color w:val="0F1115"/>
                <w:shd w:fill="FFFFFF" w:val="clear"/>
              </w:rPr>
              <w:t xml:space="preserve">14. </w:t>
            </w:r>
            <w:r>
              <w:rPr>
                <w:rFonts w:ascii="仿宋_GB2312" w:hAnsi="仿宋_GB2312" w:cs="仿宋_GB2312" w:eastAsia="仿宋_GB2312"/>
                <w:sz w:val="21"/>
                <w:b/>
                <w:color w:val="0F1115"/>
                <w:shd w:fill="FFFFFF" w:val="clear"/>
              </w:rPr>
              <w:t>肺复张评估工具</w:t>
            </w:r>
            <w:r>
              <w:rPr>
                <w:rFonts w:ascii="仿宋_GB2312" w:hAnsi="仿宋_GB2312" w:cs="仿宋_GB2312" w:eastAsia="仿宋_GB2312"/>
                <w:sz w:val="21"/>
                <w:color w:val="0F1115"/>
                <w:shd w:fill="FFFFFF" w:val="clear"/>
              </w:rPr>
              <w:t>：具备独立的肺复张评估界面或工具。</w:t>
            </w:r>
          </w:p>
          <w:p>
            <w:pPr>
              <w:pStyle w:val="null3"/>
              <w:spacing w:before="240" w:after="240"/>
              <w:jc w:val="left"/>
            </w:pPr>
            <w:r>
              <w:rPr>
                <w:rFonts w:ascii="仿宋_GB2312" w:hAnsi="仿宋_GB2312" w:cs="仿宋_GB2312" w:eastAsia="仿宋_GB2312"/>
                <w:sz w:val="21"/>
                <w:color w:val="0F1115"/>
                <w:shd w:fill="FFFFFF" w:val="clear"/>
              </w:rPr>
              <w:t xml:space="preserve">15. </w:t>
            </w:r>
            <w:r>
              <w:rPr>
                <w:rFonts w:ascii="仿宋_GB2312" w:hAnsi="仿宋_GB2312" w:cs="仿宋_GB2312" w:eastAsia="仿宋_GB2312"/>
                <w:sz w:val="21"/>
                <w:b/>
                <w:color w:val="0F1115"/>
                <w:shd w:fill="FFFFFF" w:val="clear"/>
              </w:rPr>
              <w:t>电极数量</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≥16个，</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参比电极设计。</w:t>
            </w:r>
            <w:r>
              <w:br/>
            </w:r>
            <w:r>
              <w:rPr>
                <w:rFonts w:ascii="仿宋_GB2312" w:hAnsi="仿宋_GB2312" w:cs="仿宋_GB2312" w:eastAsia="仿宋_GB2312"/>
                <w:sz w:val="21"/>
                <w:color w:val="0F1115"/>
                <w:shd w:fill="FFFFFF" w:val="clear"/>
              </w:rPr>
              <w:t xml:space="preserve">16. </w:t>
            </w:r>
            <w:r>
              <w:rPr>
                <w:rFonts w:ascii="仿宋_GB2312" w:hAnsi="仿宋_GB2312" w:cs="仿宋_GB2312" w:eastAsia="仿宋_GB2312"/>
                <w:sz w:val="21"/>
                <w:b/>
                <w:color w:val="0F1115"/>
                <w:shd w:fill="FFFFFF" w:val="clear"/>
              </w:rPr>
              <w:t>电极带规格</w:t>
            </w:r>
            <w:r>
              <w:rPr>
                <w:rFonts w:ascii="仿宋_GB2312" w:hAnsi="仿宋_GB2312" w:cs="仿宋_GB2312" w:eastAsia="仿宋_GB2312"/>
                <w:sz w:val="21"/>
                <w:color w:val="0F1115"/>
                <w:shd w:fill="FFFFFF" w:val="clear"/>
              </w:rPr>
              <w:t>：提供</w:t>
            </w:r>
            <w:r>
              <w:rPr>
                <w:rFonts w:ascii="仿宋_GB2312" w:hAnsi="仿宋_GB2312" w:cs="仿宋_GB2312" w:eastAsia="仿宋_GB2312"/>
                <w:sz w:val="21"/>
                <w:color w:val="0F1115"/>
                <w:shd w:fill="FFFFFF" w:val="clear"/>
              </w:rPr>
              <w:t>≥4种尺寸，适配胸围35cm–150cm的患者（涵盖儿童至成人）。</w:t>
            </w:r>
            <w:r>
              <w:br/>
            </w:r>
            <w:r>
              <w:rPr>
                <w:rFonts w:ascii="仿宋_GB2312" w:hAnsi="仿宋_GB2312" w:cs="仿宋_GB2312" w:eastAsia="仿宋_GB2312"/>
                <w:sz w:val="21"/>
                <w:color w:val="0F1115"/>
                <w:shd w:fill="FFFFFF" w:val="clear"/>
              </w:rPr>
              <w:t xml:space="preserve">17. </w:t>
            </w:r>
            <w:r>
              <w:rPr>
                <w:rFonts w:ascii="仿宋_GB2312" w:hAnsi="仿宋_GB2312" w:cs="仿宋_GB2312" w:eastAsia="仿宋_GB2312"/>
                <w:sz w:val="21"/>
                <w:b/>
                <w:color w:val="0F1115"/>
                <w:shd w:fill="FFFFFF" w:val="clear"/>
              </w:rPr>
              <w:t>电极状态监测</w:t>
            </w:r>
            <w:r>
              <w:rPr>
                <w:rFonts w:ascii="仿宋_GB2312" w:hAnsi="仿宋_GB2312" w:cs="仿宋_GB2312" w:eastAsia="仿宋_GB2312"/>
                <w:sz w:val="21"/>
                <w:color w:val="0F1115"/>
                <w:shd w:fill="FFFFFF" w:val="clear"/>
              </w:rPr>
              <w:t>：具备实时电极接触质量监测与异常报警功能。</w:t>
            </w:r>
            <w:r>
              <w:br/>
            </w:r>
            <w:r>
              <w:rPr>
                <w:rFonts w:ascii="仿宋_GB2312" w:hAnsi="仿宋_GB2312" w:cs="仿宋_GB2312" w:eastAsia="仿宋_GB2312"/>
                <w:sz w:val="21"/>
                <w:color w:val="0F1115"/>
                <w:shd w:fill="FFFFFF" w:val="clear"/>
              </w:rPr>
              <w:t xml:space="preserve">▲18. </w:t>
            </w:r>
            <w:r>
              <w:rPr>
                <w:rFonts w:ascii="仿宋_GB2312" w:hAnsi="仿宋_GB2312" w:cs="仿宋_GB2312" w:eastAsia="仿宋_GB2312"/>
                <w:sz w:val="21"/>
                <w:b/>
                <w:color w:val="0F1115"/>
                <w:shd w:fill="FFFFFF" w:val="clear"/>
              </w:rPr>
              <w:t>电极</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可消毒</w:t>
            </w:r>
            <w:r>
              <w:rPr>
                <w:rFonts w:ascii="仿宋_GB2312" w:hAnsi="仿宋_GB2312" w:cs="仿宋_GB2312" w:eastAsia="仿宋_GB2312"/>
                <w:sz w:val="21"/>
                <w:color w:val="0F1115"/>
                <w:shd w:fill="FFFFFF" w:val="clear"/>
              </w:rPr>
              <w:t>重复使用。</w:t>
            </w:r>
          </w:p>
          <w:p>
            <w:pPr>
              <w:pStyle w:val="null3"/>
              <w:spacing w:before="240" w:after="240"/>
              <w:jc w:val="left"/>
            </w:pPr>
            <w:r>
              <w:rPr>
                <w:rFonts w:ascii="仿宋_GB2312" w:hAnsi="仿宋_GB2312" w:cs="仿宋_GB2312" w:eastAsia="仿宋_GB2312"/>
                <w:sz w:val="21"/>
                <w:color w:val="0F1115"/>
                <w:shd w:fill="FFFFFF" w:val="clear"/>
              </w:rPr>
              <w:t xml:space="preserve">19. </w:t>
            </w:r>
            <w:r>
              <w:rPr>
                <w:rFonts w:ascii="仿宋_GB2312" w:hAnsi="仿宋_GB2312" w:cs="仿宋_GB2312" w:eastAsia="仿宋_GB2312"/>
                <w:sz w:val="21"/>
                <w:b/>
                <w:color w:val="0F1115"/>
                <w:shd w:fill="FFFFFF" w:val="clear"/>
              </w:rPr>
              <w:t>数据导出</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监测数据、图像、报告导出至</w:t>
            </w:r>
            <w:r>
              <w:rPr>
                <w:rFonts w:ascii="仿宋_GB2312" w:hAnsi="仿宋_GB2312" w:cs="仿宋_GB2312" w:eastAsia="仿宋_GB2312"/>
                <w:sz w:val="21"/>
                <w:color w:val="0F1115"/>
                <w:shd w:fill="FFFFFF" w:val="clear"/>
              </w:rPr>
              <w:t>U盘或外部存储设备。</w:t>
            </w:r>
            <w:r>
              <w:br/>
            </w:r>
            <w:r>
              <w:rPr>
                <w:rFonts w:ascii="仿宋_GB2312" w:hAnsi="仿宋_GB2312" w:cs="仿宋_GB2312" w:eastAsia="仿宋_GB2312"/>
                <w:sz w:val="21"/>
                <w:color w:val="0F1115"/>
                <w:shd w:fill="FFFFFF" w:val="clear"/>
              </w:rPr>
              <w:t xml:space="preserve">20. </w:t>
            </w:r>
            <w:r>
              <w:rPr>
                <w:rFonts w:ascii="仿宋_GB2312" w:hAnsi="仿宋_GB2312" w:cs="仿宋_GB2312" w:eastAsia="仿宋_GB2312"/>
                <w:sz w:val="21"/>
                <w:b/>
                <w:color w:val="0F1115"/>
                <w:shd w:fill="FFFFFF" w:val="clear"/>
              </w:rPr>
              <w:t>软件功能</w:t>
            </w:r>
            <w:r>
              <w:rPr>
                <w:rFonts w:ascii="仿宋_GB2312" w:hAnsi="仿宋_GB2312" w:cs="仿宋_GB2312" w:eastAsia="仿宋_GB2312"/>
                <w:sz w:val="21"/>
                <w:color w:val="0F1115"/>
                <w:shd w:fill="FFFFFF" w:val="clear"/>
              </w:rPr>
              <w:t>：具备患者信息录入、事件标记、图像冻结、滤波设置、数据回顾等功能。</w:t>
            </w:r>
            <w:r>
              <w:br/>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 xml:space="preserve">1. </w:t>
            </w:r>
            <w:r>
              <w:rPr>
                <w:rFonts w:ascii="仿宋_GB2312" w:hAnsi="仿宋_GB2312" w:cs="仿宋_GB2312" w:eastAsia="仿宋_GB2312"/>
                <w:sz w:val="21"/>
                <w:b/>
                <w:color w:val="0F1115"/>
                <w:shd w:fill="FFFFFF" w:val="clear"/>
              </w:rPr>
              <w:t>无线功能</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具备</w:t>
            </w:r>
            <w:r>
              <w:rPr>
                <w:rFonts w:ascii="仿宋_GB2312" w:hAnsi="仿宋_GB2312" w:cs="仿宋_GB2312" w:eastAsia="仿宋_GB2312"/>
                <w:sz w:val="21"/>
                <w:color w:val="0F1115"/>
                <w:shd w:fill="FFFFFF" w:val="clear"/>
              </w:rPr>
              <w:t>蓝牙或</w:t>
            </w:r>
            <w:r>
              <w:rPr>
                <w:rFonts w:ascii="仿宋_GB2312" w:hAnsi="仿宋_GB2312" w:cs="仿宋_GB2312" w:eastAsia="仿宋_GB2312"/>
                <w:sz w:val="21"/>
                <w:color w:val="0F1115"/>
                <w:shd w:fill="FFFFFF" w:val="clear"/>
              </w:rPr>
              <w:t>Wi-Fi连接，可与呼吸机等设备进行数据联动。</w:t>
            </w:r>
            <w:r>
              <w:br/>
            </w:r>
            <w:r>
              <w:rPr>
                <w:rFonts w:ascii="仿宋_GB2312" w:hAnsi="仿宋_GB2312" w:cs="仿宋_GB2312" w:eastAsia="仿宋_GB2312"/>
                <w:sz w:val="21"/>
                <w:color w:val="0F1115"/>
                <w:shd w:fill="FFFFFF" w:val="clear"/>
              </w:rPr>
              <w:t xml:space="preserve">22. </w:t>
            </w:r>
            <w:r>
              <w:rPr>
                <w:rFonts w:ascii="仿宋_GB2312" w:hAnsi="仿宋_GB2312" w:cs="仿宋_GB2312" w:eastAsia="仿宋_GB2312"/>
                <w:sz w:val="21"/>
                <w:b/>
                <w:color w:val="0F1115"/>
                <w:shd w:fill="FFFFFF" w:val="clear"/>
              </w:rPr>
              <w:t>报警功能</w:t>
            </w:r>
            <w:r>
              <w:rPr>
                <w:rFonts w:ascii="仿宋_GB2312" w:hAnsi="仿宋_GB2312" w:cs="仿宋_GB2312" w:eastAsia="仿宋_GB2312"/>
                <w:sz w:val="21"/>
                <w:color w:val="0F1115"/>
                <w:shd w:fill="FFFFFF" w:val="clear"/>
              </w:rPr>
              <w:t>：具备电极脱落、信号质量低、电池电量低等声光报警功能。</w:t>
            </w:r>
          </w:p>
          <w:p>
            <w:pPr>
              <w:pStyle w:val="null3"/>
              <w:spacing w:before="240" w:after="240"/>
              <w:jc w:val="left"/>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3</w:t>
            </w:r>
            <w:r>
              <w:rPr>
                <w:rFonts w:ascii="仿宋_GB2312" w:hAnsi="仿宋_GB2312" w:cs="仿宋_GB2312" w:eastAsia="仿宋_GB2312"/>
                <w:sz w:val="21"/>
                <w:color w:val="0F1115"/>
                <w:shd w:fill="FFFFFF" w:val="clear"/>
              </w:rPr>
              <w:t xml:space="preserve">. </w:t>
            </w:r>
            <w:r>
              <w:rPr>
                <w:rFonts w:ascii="仿宋_GB2312" w:hAnsi="仿宋_GB2312" w:cs="仿宋_GB2312" w:eastAsia="仿宋_GB2312"/>
                <w:sz w:val="21"/>
                <w:b/>
                <w:color w:val="0F1115"/>
                <w:shd w:fill="FFFFFF" w:val="clear"/>
              </w:rPr>
              <w:t>防护等级</w:t>
            </w:r>
            <w:r>
              <w:rPr>
                <w:rFonts w:ascii="仿宋_GB2312" w:hAnsi="仿宋_GB2312" w:cs="仿宋_GB2312" w:eastAsia="仿宋_GB2312"/>
                <w:sz w:val="21"/>
                <w:color w:val="0F1115"/>
                <w:shd w:fill="FFFFFF" w:val="clear"/>
              </w:rPr>
              <w:t>：主机防尘防水不低于</w:t>
            </w:r>
            <w:r>
              <w:rPr>
                <w:rFonts w:ascii="仿宋_GB2312" w:hAnsi="仿宋_GB2312" w:cs="仿宋_GB2312" w:eastAsia="仿宋_GB2312"/>
                <w:sz w:val="21"/>
                <w:color w:val="0F1115"/>
                <w:shd w:fill="FFFFFF" w:val="clear"/>
              </w:rPr>
              <w:t>IPX2。</w:t>
            </w:r>
          </w:p>
          <w:p>
            <w:pPr>
              <w:pStyle w:val="null3"/>
              <w:spacing w:before="240" w:after="240"/>
              <w:jc w:val="left"/>
            </w:pPr>
            <w:r>
              <w:rPr>
                <w:rFonts w:ascii="仿宋_GB2312" w:hAnsi="仿宋_GB2312" w:cs="仿宋_GB2312" w:eastAsia="仿宋_GB2312"/>
                <w:sz w:val="21"/>
                <w:color w:val="0F1115"/>
                <w:shd w:fill="FFFFFF" w:val="clear"/>
              </w:rPr>
              <w:t>2</w:t>
            </w:r>
            <w:r>
              <w:rPr>
                <w:rFonts w:ascii="仿宋_GB2312" w:hAnsi="仿宋_GB2312" w:cs="仿宋_GB2312" w:eastAsia="仿宋_GB2312"/>
                <w:sz w:val="21"/>
                <w:color w:val="0F1115"/>
                <w:shd w:fill="FFFFFF" w:val="clear"/>
              </w:rPr>
              <w:t>4</w:t>
            </w:r>
            <w:r>
              <w:rPr>
                <w:rFonts w:ascii="仿宋_GB2312" w:hAnsi="仿宋_GB2312" w:cs="仿宋_GB2312" w:eastAsia="仿宋_GB2312"/>
                <w:sz w:val="21"/>
                <w:color w:val="0F1115"/>
                <w:shd w:fill="FFFFFF" w:val="clear"/>
              </w:rPr>
              <w:t xml:space="preserve">. </w:t>
            </w:r>
            <w:r>
              <w:rPr>
                <w:rFonts w:ascii="仿宋_GB2312" w:hAnsi="仿宋_GB2312" w:cs="仿宋_GB2312" w:eastAsia="仿宋_GB2312"/>
                <w:sz w:val="24"/>
                <w:b/>
                <w:color w:val="0F1115"/>
                <w:shd w:fill="FFFFFF" w:val="clear"/>
              </w:rPr>
              <w:t>使用寿命</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8年。</w:t>
            </w:r>
          </w:p>
          <w:p>
            <w:pPr>
              <w:pStyle w:val="null3"/>
              <w:jc w:val="left"/>
            </w:pPr>
            <w:r>
              <w:rPr>
                <w:rFonts w:ascii="仿宋_GB2312" w:hAnsi="仿宋_GB2312" w:cs="仿宋_GB2312" w:eastAsia="仿宋_GB2312"/>
                <w:sz w:val="21"/>
                <w:b/>
                <w:color w:val="0F1115"/>
                <w:shd w:fill="FFFFFF" w:val="clear"/>
              </w:rPr>
              <w:t>二、配置清单</w:t>
            </w:r>
          </w:p>
          <w:p>
            <w:pPr>
              <w:pStyle w:val="null3"/>
              <w:jc w:val="left"/>
            </w:pPr>
            <w:r>
              <w:rPr>
                <w:rFonts w:ascii="仿宋_GB2312" w:hAnsi="仿宋_GB2312" w:cs="仿宋_GB2312" w:eastAsia="仿宋_GB2312"/>
                <w:sz w:val="21"/>
                <w:color w:val="0F1115"/>
                <w:shd w:fill="FFFFFF" w:val="clear"/>
              </w:rPr>
              <w:t>主机（含软件）、电极带（</w:t>
            </w:r>
            <w:r>
              <w:rPr>
                <w:rFonts w:ascii="仿宋_GB2312" w:hAnsi="仿宋_GB2312" w:cs="仿宋_GB2312" w:eastAsia="仿宋_GB2312"/>
                <w:sz w:val="21"/>
                <w:color w:val="0F1115"/>
                <w:shd w:fill="FFFFFF" w:val="clear"/>
              </w:rPr>
              <w:t>≥4套）、患者电缆、电源适配器、说明书</w:t>
            </w:r>
            <w:r>
              <w:rPr>
                <w:rFonts w:ascii="仿宋_GB2312" w:hAnsi="仿宋_GB2312" w:cs="仿宋_GB2312" w:eastAsia="仿宋_GB2312"/>
                <w:sz w:val="21"/>
                <w:color w:val="0F1115"/>
                <w:shd w:fill="FFFFFF" w:val="clear"/>
              </w:rPr>
              <w:t>、</w:t>
            </w:r>
            <w:r>
              <w:rPr>
                <w:rFonts w:ascii="仿宋_GB2312" w:hAnsi="仿宋_GB2312" w:cs="仿宋_GB2312" w:eastAsia="仿宋_GB2312"/>
                <w:sz w:val="21"/>
                <w:color w:val="0F1115"/>
                <w:shd w:fill="FFFFFF" w:val="clear"/>
              </w:rPr>
              <w:t>台车、</w:t>
            </w:r>
            <w:r>
              <w:rPr>
                <w:rFonts w:ascii="仿宋_GB2312" w:hAnsi="仿宋_GB2312" w:cs="仿宋_GB2312" w:eastAsia="仿宋_GB2312"/>
                <w:sz w:val="21"/>
                <w:color w:val="0F1115"/>
                <w:shd w:fill="FFFFFF" w:val="clear"/>
              </w:rPr>
              <w:t>备用电池、数据分析软件升级模块等。</w:t>
            </w:r>
          </w:p>
          <w:p>
            <w:pPr>
              <w:pStyle w:val="null3"/>
              <w:spacing w:before="240" w:after="24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240" w:after="240"/>
              <w:jc w:val="left"/>
            </w:pPr>
            <w:r>
              <w:rPr>
                <w:rFonts w:ascii="仿宋_GB2312" w:hAnsi="仿宋_GB2312" w:cs="仿宋_GB2312" w:eastAsia="仿宋_GB2312"/>
                <w:sz w:val="21"/>
                <w:b/>
                <w:color w:val="0F1115"/>
                <w:shd w:fill="FFFFFF" w:val="clear"/>
              </w:rPr>
              <w:t>三</w:t>
            </w:r>
            <w:r>
              <w:rPr>
                <w:rFonts w:ascii="仿宋_GB2312" w:hAnsi="仿宋_GB2312" w:cs="仿宋_GB2312" w:eastAsia="仿宋_GB2312"/>
                <w:sz w:val="21"/>
                <w:b/>
                <w:color w:val="0F1115"/>
                <w:shd w:fill="FFFFFF" w:val="clear"/>
              </w:rPr>
              <w:t>、售后服务</w:t>
            </w:r>
          </w:p>
          <w:p>
            <w:pPr>
              <w:pStyle w:val="null3"/>
              <w:jc w:val="both"/>
            </w:pPr>
            <w:r>
              <w:rPr>
                <w:rFonts w:ascii="仿宋_GB2312" w:hAnsi="仿宋_GB2312" w:cs="仿宋_GB2312" w:eastAsia="仿宋_GB2312"/>
                <w:sz w:val="21"/>
              </w:rPr>
              <w:t>1、售后维修响应时间：设备报修后维修人员2小时内响应，4小时内到达现场。72小时故障未排除的，需提供同型号备用机</w:t>
            </w:r>
          </w:p>
          <w:p>
            <w:pPr>
              <w:pStyle w:val="null3"/>
              <w:jc w:val="both"/>
            </w:pPr>
            <w:r>
              <w:rPr>
                <w:rFonts w:ascii="仿宋_GB2312" w:hAnsi="仿宋_GB2312" w:cs="仿宋_GB2312" w:eastAsia="仿宋_GB2312"/>
                <w:sz w:val="21"/>
              </w:rPr>
              <w:t>2、终身免费升级软件版本。</w:t>
            </w:r>
          </w:p>
          <w:p>
            <w:pPr>
              <w:pStyle w:val="null3"/>
            </w:pPr>
            <w:r>
              <w:rPr>
                <w:rFonts w:ascii="仿宋_GB2312" w:hAnsi="仿宋_GB2312" w:cs="仿宋_GB2312" w:eastAsia="仿宋_GB2312"/>
                <w:sz w:val="21"/>
              </w:rPr>
              <w:t>3、整机保修5年，保修期结束后，能够继续提供设备售后服务技术支持。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合同签订后，接采购人通知30个日历日内到货并安装调试完毕。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陕西中医药大学第二附属医院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货到安装调试验收合格办理入库后，乙方于10日内持全额正式税务发票向甲方提出支付全部货款的65 %的申请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设备办理入库并正常运行3个月后，乙方提供的商品无故障等各种情况发生</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剩余货款的5%，将于设备正常运转1年后，乙方就合同约定义务全部履行完毕后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整机保修5年，保修期结束后，能够继续提供设备售后服务技术支持。</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1、根据采购人档案管理要求，供应商需要在线提交所有通过电子化交易平台实施的政府采购项目的投标文件，同时，线下提交投标文件正本 壹 份、副本 贰 套。若系统电子投标文件与纸质投标文件不一致的，以系统电子投标文件为准。 2、定标环节采购人有权对响应文件承诺响应的内容进行复核，如有虚假响应，一经发现，取消成交资格并上报财政主管部门，列入政府采购黑名单。3、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本国产品标准的适用范围：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产品应当在中国境内生产，即在中华人民共和国关境内实现从原材料、组件到产品的属性改变。属性改变是指经过制造、加工或者组装等工序，产生完全不同于原材料、组件的新产品，并具有新的名称和特征（用途）。 供应商应对其提供的产品出具《关于符合本国产品标准的声明函》。提供虚假《声明函》、虚假证明文件谋取中标、成交的，依照《政府采购法》等法律法规规定追究相应责任。4.投标保证金注意事项：（1）投标保证金缴纳截止时间：同投标文件递交截止时间一致。（2）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wangxin@sxzjtc.com（邮件命名：项目编号）。保函必须由具有开具投标保函资格的单位开具；若供应商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其他组织应提供合法证明文件）； 2、2024年度或2025年度经审计的财务报告或在开标日期前12个月内任意时段银行出具的资信证明； 3、提供具有履行本合同所必需专业技术能力的说明及承诺； 4、社会保障资金缴纳记录证明文件和依法缴纳税收记录证明文件（同时提供开标时间前12个月内任意时段的社保及税收缴纳证明；依法不需要缴纳的应提供相关证明文件)；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资格响应表.docx 投标文件封面</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法定代表人直接参加投标的，须提供法定代表人身份证，并与营业执照上信息一致。法定代表人授权代表参加投标的，须提供法定代表人授权书</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医疗器械经营许可证或医疗器械经营备案证</w:t>
            </w:r>
          </w:p>
        </w:tc>
        <w:tc>
          <w:tcPr>
            <w:tcW w:type="dxa" w:w="3322"/>
          </w:tcPr>
          <w:p>
            <w:pPr>
              <w:pStyle w:val="null3"/>
            </w:pPr>
            <w:r>
              <w:rPr>
                <w:rFonts w:ascii="仿宋_GB2312" w:hAnsi="仿宋_GB2312" w:cs="仿宋_GB2312" w:eastAsia="仿宋_GB2312"/>
              </w:rPr>
              <w:t>供应商提供医疗器械经营许可证或医疗器械经营备案证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所投产品属于医疗器械的提供生产厂家的医疗器械生产许可证或医疗器械生产备案证</w:t>
            </w:r>
          </w:p>
        </w:tc>
        <w:tc>
          <w:tcPr>
            <w:tcW w:type="dxa" w:w="3322"/>
          </w:tcPr>
          <w:p>
            <w:pPr>
              <w:pStyle w:val="null3"/>
            </w:pPr>
            <w:r>
              <w:rPr>
                <w:rFonts w:ascii="仿宋_GB2312" w:hAnsi="仿宋_GB2312" w:cs="仿宋_GB2312" w:eastAsia="仿宋_GB2312"/>
              </w:rPr>
              <w:t>所投产品属于医疗器械的提供生产厂家的医疗器械生产许可证或医疗器械生产备案证</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所投产品医疗器械注册证或医疗器械备案凭证</w:t>
            </w:r>
          </w:p>
        </w:tc>
        <w:tc>
          <w:tcPr>
            <w:tcW w:type="dxa" w:w="3322"/>
          </w:tcPr>
          <w:p>
            <w:pPr>
              <w:pStyle w:val="null3"/>
            </w:pPr>
            <w:r>
              <w:rPr>
                <w:rFonts w:ascii="仿宋_GB2312" w:hAnsi="仿宋_GB2312" w:cs="仿宋_GB2312" w:eastAsia="仿宋_GB2312"/>
              </w:rPr>
              <w:t>所投产品属于医疗器械的提供所投产品医疗器械注册证或医疗器械备案凭证，如非国家强制要求备案或注册的产品提供相关证明文件</w:t>
            </w:r>
          </w:p>
        </w:tc>
        <w:tc>
          <w:tcPr>
            <w:tcW w:type="dxa" w:w="1661"/>
          </w:tcPr>
          <w:p>
            <w:pPr>
              <w:pStyle w:val="null3"/>
            </w:pPr>
            <w:r>
              <w:rPr>
                <w:rFonts w:ascii="仿宋_GB2312" w:hAnsi="仿宋_GB2312" w:cs="仿宋_GB2312" w:eastAsia="仿宋_GB2312"/>
              </w:rPr>
              <w:t>资格响应表.docx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单位，不得参加同一项下的政府采购活动。对列入失信被执行人、政府采购严重违法失信行为记录名单的供应商，拒绝参与本项目政府采购活动。</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二.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三、强化政府采购异常低价审查 （一）政府采购评审中出现下列情形之一的，评标委员会应当启动异常低价响应审查程序：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二）评标委员会启动异常低价响应审查后，相关供应商在评审现场合理的时间内对投标价格作出解释，提供项目具体成本测算等与报价合理性相关的书面说明及必要的证明材料，包括但不限于原材料成本、人工成本、制造费用等。评标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标委员会应当将其作为无效响应处理。</w:t>
            </w:r>
          </w:p>
        </w:tc>
        <w:tc>
          <w:tcPr>
            <w:tcW w:type="dxa" w:w="1661"/>
          </w:tcPr>
          <w:p>
            <w:pPr>
              <w:pStyle w:val="null3"/>
            </w:pPr>
            <w:r>
              <w:rPr>
                <w:rFonts w:ascii="仿宋_GB2312" w:hAnsi="仿宋_GB2312" w:cs="仿宋_GB2312" w:eastAsia="仿宋_GB2312"/>
              </w:rPr>
              <w:t>开标一览表 标的清单 商务偏离表.docx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货到安装调试验收合格办理入库后，乙方于10日内持全额正式税务发票向甲方提出支付全部货款的65 %的申请 ，达到付款条件起 30 日内，支付合同总金额的 65.00%。 设备办理入库并正常运行3个月后，乙方提供的商品无故障等各种情况发生 ，达到付款条件起 30 日内，支付合同总金额的 30.00%。 剩余货款的5%，将于设备正常运转1年后，乙方就合同约定义务全部履行完毕后 ，达到付款条件起 30 日内，支付合同总金额的 5.00%。</w:t>
            </w:r>
          </w:p>
        </w:tc>
        <w:tc>
          <w:tcPr>
            <w:tcW w:type="dxa" w:w="1661"/>
          </w:tcPr>
          <w:p>
            <w:pPr>
              <w:pStyle w:val="null3"/>
            </w:pPr>
            <w:r>
              <w:rPr>
                <w:rFonts w:ascii="仿宋_GB2312" w:hAnsi="仿宋_GB2312" w:cs="仿宋_GB2312" w:eastAsia="仿宋_GB2312"/>
              </w:rPr>
              <w:t>投标文件封面 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交货安装期</w:t>
            </w:r>
          </w:p>
        </w:tc>
        <w:tc>
          <w:tcPr>
            <w:tcW w:type="dxa" w:w="3322"/>
          </w:tcPr>
          <w:p>
            <w:pPr>
              <w:pStyle w:val="null3"/>
            </w:pPr>
            <w:r>
              <w:rPr>
                <w:rFonts w:ascii="仿宋_GB2312" w:hAnsi="仿宋_GB2312" w:cs="仿宋_GB2312" w:eastAsia="仿宋_GB2312"/>
              </w:rPr>
              <w:t>合同签订后，接采购人通知30个日历日内到货并安装调试完毕。</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90日历日</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整机保修5年，保修期结束后，能够继续提供设备售后服务技术支持。</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3322"/>
          </w:tcPr>
          <w:p>
            <w:pPr>
              <w:pStyle w:val="null3"/>
            </w:pPr>
            <w:r>
              <w:rPr>
                <w:rFonts w:ascii="仿宋_GB2312" w:hAnsi="仿宋_GB2312" w:cs="仿宋_GB2312" w:eastAsia="仿宋_GB2312"/>
              </w:rPr>
              <w:t>供应商有法律、规章、规范性文件和招标文件规定的其他无效情形，按无效响应处理。</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投标产品的技术指标评审</w:t>
            </w:r>
          </w:p>
        </w:tc>
        <w:tc>
          <w:tcPr>
            <w:tcW w:type="dxa" w:w="2492"/>
          </w:tcPr>
          <w:p>
            <w:pPr>
              <w:pStyle w:val="null3"/>
            </w:pPr>
            <w:r>
              <w:rPr>
                <w:rFonts w:ascii="仿宋_GB2312" w:hAnsi="仿宋_GB2312" w:cs="仿宋_GB2312" w:eastAsia="仿宋_GB2312"/>
              </w:rPr>
              <w:t>技术参数规格明确，满足采购人应用的需求，完全满足得25分。▲号项参数指标有一项不满足扣2分，非▲号项参数指标有一项不满足扣1分。 “▲”号参数须提供技术证明材料，且能明确体现满足参数的具体指标；（证明材料指产品技术说明或检测机构出具的检测报告或功能截图）未提供按负偏离扣分处理。 注：评标委员会认定投标文件技术参数响应出现10条以上完全复制招标文件技术指标要求的，另扣5分。文字描述、国标、定制尺寸的技术指标除外。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环保节能评审</w:t>
            </w:r>
          </w:p>
        </w:tc>
        <w:tc>
          <w:tcPr>
            <w:tcW w:type="dxa" w:w="2492"/>
          </w:tcPr>
          <w:p>
            <w:pPr>
              <w:pStyle w:val="null3"/>
            </w:pPr>
            <w:r>
              <w:rPr>
                <w:rFonts w:ascii="仿宋_GB2312" w:hAnsi="仿宋_GB2312" w:cs="仿宋_GB2312" w:eastAsia="仿宋_GB2312"/>
              </w:rPr>
              <w:t>所投产品每有一项为节能、环保、环境标志产品清单中的产品得0.5分，满分1分（以经国家确定的认证机构出具的、处于有效期内的节能产品、环境标志产品认证证书为准。）。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投标人提供针对本项目的实施方案，至少包含：1、供货组织安排、安装、检测、调试措施；2、实施步骤、进度计划和保证措施；3、安全控制方案；4、组织机构人员配置、协调能力；5、验收方案。 方案各项内容全面详细、阐述条理清晰详尽、符合本项目采购需求、平台技术先进，功能配置合理，能有效保障本项目实施，每有一个缺项扣2分，每有一处内容存在缺陷，扣0.5分。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选型配置方案</w:t>
            </w:r>
          </w:p>
        </w:tc>
        <w:tc>
          <w:tcPr>
            <w:tcW w:type="dxa" w:w="2492"/>
          </w:tcPr>
          <w:p>
            <w:pPr>
              <w:pStyle w:val="null3"/>
            </w:pPr>
            <w:r>
              <w:rPr>
                <w:rFonts w:ascii="仿宋_GB2312" w:hAnsi="仿宋_GB2312" w:cs="仿宋_GB2312" w:eastAsia="仿宋_GB2312"/>
              </w:rPr>
              <w:t>根据所投产品技术先进性、性能稳定性、质量可靠性等方面进行评审： 至少包含：1、投标产品精度、性能能满足相应使用的要求；为市场较新或最新产品；2、备品备件储备齐全；投标产品全生命周期运行、使用、维修保养等规划完备；3、操纵和控制系统功能完整，界面布局简洁，清楚，逻辑明确；4、设备的安全防护措施完善，安全可靠性高。 方案各项内容全面明确、阐述条理清晰，每有一个缺项扣2分，每有一处内容存在缺陷，扣0.5分。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方案至少包含：1、质量控制方法和措施；2、质量控制流程，控制重点等。 方案各项内容全面详细、阐述条理清晰详尽、每有一个缺项扣3分，每有一处内容存在缺陷，扣0.5分。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方案至少包含：1、具有详细的在设备发生不同类型故障后的到达现场时间、解决故障时间、补救措施等方案；2、具有相应的物力、人力保障，能够保证日常的现场走访，给予检查维护。 方案各项内容全面详细、阐述条理清晰详尽、每有一个缺项扣2分，每有一处内容存在缺陷，扣0.5分。 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方案至少包含：1、拟投入培训师情况；2、培训计划、课程等内容。 方案各项内容全面详细、阐述条理清晰详尽、每有一个缺项扣3分，每有一处内容存在缺陷，扣0.5分。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技术方案，履约能力，售后及培训.docx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提供所投产品2023年1月1日以来同类项目业绩，每提供一份合同得2分，满分10分。（以合同签订时间为准）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采用低价优先法计算，即实质性满足招标文件要求且投标价格最低的投标报价为评标基准价，其价格分为满分30分。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强化政府采购异常低价审查的证明材料.docx</w:t>
            </w:r>
          </w:p>
          <w:p>
            <w:pPr>
              <w:pStyle w:val="null3"/>
            </w:pPr>
            <w:r>
              <w:rPr>
                <w:rFonts w:ascii="仿宋_GB2312" w:hAnsi="仿宋_GB2312" w:cs="仿宋_GB2312" w:eastAsia="仿宋_GB2312"/>
              </w:rPr>
              <w:t>报价表及分项报价表.docx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详见附件：技术方案，履约能力，售后及培训.docx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详见附件：强化政府采购异常低价审查的证明材料.docx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详见附件：资格响应表.docx</w:t>
      </w:r>
    </w:p>
    <w:p>
      <w:pPr>
        <w:pStyle w:val="null3"/>
        <w:ind w:firstLine="960"/>
      </w:pPr>
      <w:r>
        <w:rPr>
          <w:rFonts w:ascii="仿宋_GB2312" w:hAnsi="仿宋_GB2312" w:cs="仿宋_GB2312" w:eastAsia="仿宋_GB2312"/>
        </w:rPr>
        <w:t>详见附件：报价表及分项报价表.docx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详见附件：设备采购合同模板-院外（2024.10.24）.docx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