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49F38E8B">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甲方（采购人）： </w:t>
      </w:r>
    </w:p>
    <w:p w14:paraId="07627BE2">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乙方（成交供应商）： </w:t>
      </w:r>
    </w:p>
    <w:p w14:paraId="12CBF16F">
      <w:pPr>
        <w:widowControl w:val="0"/>
        <w:kinsoku/>
        <w:wordWrap w:val="0"/>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u w:val="single"/>
          <w:lang w:eastAsia="zh-CN"/>
        </w:rPr>
        <w:t>通勤车租赁项目(项目编号：SXHC2026-041)</w:t>
      </w:r>
      <w:r>
        <w:rPr>
          <w:rFonts w:hint="eastAsia" w:ascii="仿宋_GB2312" w:hAnsi="仿宋_GB2312" w:eastAsia="仿宋_GB2312" w:cs="仿宋_GB2312"/>
          <w:color w:val="auto"/>
          <w:sz w:val="28"/>
          <w:szCs w:val="28"/>
          <w:lang w:eastAsia="zh-CN"/>
        </w:rPr>
        <w:t>，由陕西华采招标有限公司组织竞争性磋商，</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lang w:eastAsia="zh-CN"/>
        </w:rPr>
        <w:t>(以下简称“甲方”)确定</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lang w:eastAsia="zh-CN"/>
        </w:rPr>
        <w:t>（以下简称“乙方”）为该项目</w:t>
      </w:r>
      <w:r>
        <w:rPr>
          <w:rFonts w:hint="eastAsia" w:ascii="仿宋_GB2312" w:hAnsi="仿宋_GB2312" w:eastAsia="仿宋_GB2312" w:cs="仿宋_GB2312"/>
          <w:color w:val="auto"/>
          <w:sz w:val="28"/>
          <w:szCs w:val="28"/>
          <w:lang w:val="en-US" w:eastAsia="zh-CN"/>
        </w:rPr>
        <w:t>合同包</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eastAsia="zh-CN"/>
        </w:rPr>
        <w:t>的成交供应商。</w:t>
      </w:r>
    </w:p>
    <w:p w14:paraId="481612EB">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依据《中华人民共和国民法典》和《中华人民共和国政府采购法》之规定，经双方在平等、自愿、互利的基础上，签订本合同，共同信守。</w:t>
      </w:r>
    </w:p>
    <w:p w14:paraId="47FD6D20">
      <w:pPr>
        <w:widowControl w:val="0"/>
        <w:kinsoku/>
        <w:autoSpaceDE/>
        <w:autoSpaceDN/>
        <w:spacing w:line="360" w:lineRule="auto"/>
        <w:ind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一、委托内容：</w:t>
      </w:r>
      <w:r>
        <w:rPr>
          <w:rFonts w:hint="eastAsia" w:ascii="仿宋_GB2312" w:hAnsi="仿宋_GB2312" w:eastAsia="仿宋_GB2312" w:cs="仿宋_GB2312"/>
          <w:b w:val="0"/>
          <w:bCs w:val="0"/>
          <w:color w:val="auto"/>
          <w:sz w:val="28"/>
          <w:szCs w:val="28"/>
          <w:lang w:eastAsia="zh-CN"/>
        </w:rPr>
        <w:t>乙方负责提供保障秦始皇帝陵博物院职工上下班通勤，车辆行驶区间为甲方指定路线。</w:t>
      </w:r>
    </w:p>
    <w:p w14:paraId="4F44D0C4">
      <w:pPr>
        <w:widowControl w:val="0"/>
        <w:kinsoku/>
        <w:autoSpaceDE/>
        <w:autoSpaceDN/>
        <w:spacing w:line="360" w:lineRule="auto"/>
        <w:ind w:firstLine="562"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b/>
          <w:bCs/>
          <w:color w:val="auto"/>
          <w:sz w:val="28"/>
          <w:szCs w:val="28"/>
          <w:lang w:eastAsia="zh-CN"/>
        </w:rPr>
        <w:t>二、</w:t>
      </w:r>
      <w:r>
        <w:rPr>
          <w:rFonts w:hint="eastAsia" w:ascii="仿宋_GB2312" w:hAnsi="仿宋_GB2312" w:eastAsia="仿宋_GB2312" w:cs="仿宋_GB2312"/>
          <w:b/>
          <w:bCs/>
          <w:color w:val="auto"/>
          <w:sz w:val="28"/>
          <w:szCs w:val="28"/>
          <w:lang w:val="en-US" w:eastAsia="zh-CN"/>
        </w:rPr>
        <w:t>租赁车辆</w:t>
      </w:r>
    </w:p>
    <w:p w14:paraId="693C11EE">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 w:eastAsia="仿宋_GB2312"/>
          <w:bCs/>
          <w:sz w:val="28"/>
          <w:szCs w:val="28"/>
        </w:rPr>
        <w:t>乙方为甲方提供的租赁中型高一级配置客车</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辆，车牌号码</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rPr>
        <w:t>，该车辆作为甲方通勤班车</w:t>
      </w:r>
      <w:r>
        <w:rPr>
          <w:rFonts w:hint="eastAsia" w:ascii="仿宋_GB2312" w:hAnsi="仿宋" w:eastAsia="仿宋_GB2312"/>
          <w:bCs/>
          <w:sz w:val="28"/>
          <w:szCs w:val="28"/>
          <w:lang w:eastAsia="zh-CN"/>
        </w:rPr>
        <w:t>，未经甲方书面许可乙方不得擅自更换车辆。</w:t>
      </w:r>
    </w:p>
    <w:p w14:paraId="2547814D">
      <w:pPr>
        <w:widowControl w:val="0"/>
        <w:kinsoku/>
        <w:autoSpaceDE/>
        <w:autoSpaceDN/>
        <w:spacing w:line="360" w:lineRule="auto"/>
        <w:ind w:firstLine="562"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eastAsia="zh-CN"/>
        </w:rPr>
        <w:t>三、</w:t>
      </w:r>
      <w:r>
        <w:rPr>
          <w:rFonts w:hint="eastAsia" w:ascii="仿宋_GB2312" w:hAnsi="仿宋_GB2312" w:eastAsia="仿宋_GB2312" w:cs="仿宋_GB2312"/>
          <w:b/>
          <w:bCs/>
          <w:color w:val="auto"/>
          <w:sz w:val="28"/>
          <w:szCs w:val="28"/>
          <w:lang w:val="en-US" w:eastAsia="zh-CN"/>
        </w:rPr>
        <w:t>合同价款</w:t>
      </w:r>
    </w:p>
    <w:p w14:paraId="10268803">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（一）合同价款为人民币（大写）</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u w:val="single"/>
          <w:lang w:eastAsia="zh-CN"/>
        </w:rPr>
        <w:t xml:space="preserve">          </w:t>
      </w:r>
      <w:r>
        <w:rPr>
          <w:rFonts w:hint="eastAsia" w:ascii="仿宋_GB2312" w:hAnsi="仿宋_GB2312" w:eastAsia="仿宋_GB2312" w:cs="仿宋_GB2312"/>
          <w:color w:val="auto"/>
          <w:sz w:val="28"/>
          <w:szCs w:val="28"/>
          <w:lang w:eastAsia="zh-CN"/>
        </w:rPr>
        <w:t>）</w:t>
      </w:r>
      <w:r>
        <w:rPr>
          <w:rFonts w:hint="eastAsia" w:ascii="仿宋_GB2312" w:hAnsi="仿宋" w:eastAsia="仿宋_GB2312"/>
          <w:bCs/>
          <w:sz w:val="28"/>
          <w:szCs w:val="28"/>
        </w:rPr>
        <w:t>（具体以每季度考核为准）</w:t>
      </w:r>
      <w:r>
        <w:rPr>
          <w:rFonts w:hint="eastAsia" w:ascii="仿宋_GB2312" w:hAnsi="仿宋_GB2312" w:eastAsia="仿宋_GB2312" w:cs="仿宋_GB2312"/>
          <w:color w:val="auto"/>
          <w:sz w:val="28"/>
          <w:szCs w:val="28"/>
          <w:lang w:eastAsia="zh-CN"/>
        </w:rPr>
        <w:t>。</w:t>
      </w:r>
    </w:p>
    <w:p w14:paraId="777404EC">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（二）合同价款是</w:t>
      </w:r>
      <w:r>
        <w:rPr>
          <w:rFonts w:hint="eastAsia" w:ascii="仿宋_GB2312" w:eastAsia="仿宋_GB2312"/>
          <w:sz w:val="28"/>
          <w:szCs w:val="28"/>
        </w:rPr>
        <w:t>指</w:t>
      </w:r>
      <w:r>
        <w:rPr>
          <w:rFonts w:hint="eastAsia" w:ascii="仿宋_GB2312" w:hAnsi="宋体" w:eastAsia="仿宋_GB2312"/>
          <w:sz w:val="28"/>
          <w:szCs w:val="28"/>
        </w:rPr>
        <w:t>本次</w:t>
      </w:r>
      <w:r>
        <w:rPr>
          <w:rFonts w:hint="eastAsia" w:ascii="仿宋_GB2312" w:hAnsi="宋体" w:eastAsia="仿宋_GB2312"/>
          <w:sz w:val="28"/>
          <w:szCs w:val="28"/>
          <w:lang w:val="zh-CN"/>
        </w:rPr>
        <w:t>服务</w:t>
      </w:r>
      <w:r>
        <w:rPr>
          <w:rFonts w:ascii="仿宋_GB2312" w:hAnsi="宋体" w:eastAsia="仿宋_GB2312"/>
          <w:sz w:val="28"/>
          <w:szCs w:val="28"/>
          <w:lang w:val="zh-CN"/>
        </w:rPr>
        <w:t>内容所需的全部费用</w:t>
      </w:r>
      <w:r>
        <w:rPr>
          <w:rFonts w:hint="eastAsia" w:ascii="仿宋_GB2312" w:hAnsi="宋体" w:eastAsia="仿宋_GB2312"/>
          <w:sz w:val="28"/>
          <w:szCs w:val="28"/>
          <w:lang w:val="zh-CN"/>
        </w:rPr>
        <w:t>，</w:t>
      </w:r>
      <w:r>
        <w:rPr>
          <w:rFonts w:hint="eastAsia" w:ascii="仿宋_GB2312" w:hAnsi="仿宋_GB2312" w:eastAsia="仿宋_GB2312" w:cs="仿宋_GB2312"/>
          <w:sz w:val="28"/>
          <w:szCs w:val="28"/>
          <w:lang w:val="zh-CN" w:eastAsia="zh-CN"/>
        </w:rPr>
        <w:t>包括完成采购内容所需的</w:t>
      </w:r>
      <w:r>
        <w:rPr>
          <w:rFonts w:hint="eastAsia" w:ascii="仿宋_GB2312" w:hAnsi="仿宋_GB2312" w:eastAsia="仿宋_GB2312" w:cs="仿宋_GB2312"/>
          <w:sz w:val="28"/>
          <w:szCs w:val="28"/>
          <w:lang w:val="zh-CN"/>
        </w:rPr>
        <w:t>人员工资、汽车燃油费、设备损耗费、设备保养费、</w:t>
      </w:r>
      <w:r>
        <w:rPr>
          <w:rFonts w:hint="eastAsia" w:ascii="仿宋_GB2312" w:hAnsi="仿宋_GB2312" w:eastAsia="仿宋_GB2312" w:cs="仿宋_GB2312"/>
          <w:sz w:val="28"/>
          <w:szCs w:val="28"/>
          <w:lang w:val="zh-CN" w:eastAsia="zh-CN"/>
        </w:rPr>
        <w:t>过路费、停车费、</w:t>
      </w:r>
      <w:r>
        <w:rPr>
          <w:rFonts w:hint="eastAsia" w:ascii="仿宋_GB2312" w:hAnsi="仿宋_GB2312" w:eastAsia="仿宋_GB2312" w:cs="仿宋_GB2312"/>
          <w:sz w:val="28"/>
          <w:szCs w:val="28"/>
          <w:lang w:val="zh-CN"/>
        </w:rPr>
        <w:t>保险费、管理费、利润、风险、税金</w:t>
      </w:r>
      <w:r>
        <w:rPr>
          <w:rFonts w:hint="eastAsia" w:ascii="仿宋_GB2312" w:hAnsi="仿宋_GB2312" w:eastAsia="仿宋_GB2312" w:cs="仿宋_GB2312"/>
          <w:sz w:val="28"/>
          <w:szCs w:val="28"/>
          <w:lang w:val="en-US" w:eastAsia="zh-CN"/>
        </w:rPr>
        <w:t>及</w:t>
      </w:r>
      <w:r>
        <w:rPr>
          <w:rFonts w:hint="eastAsia" w:ascii="仿宋_GB2312" w:hAnsi="仿宋_GB2312" w:eastAsia="仿宋_GB2312" w:cs="仿宋_GB2312"/>
          <w:sz w:val="28"/>
          <w:szCs w:val="28"/>
          <w:lang w:val="zh-CN" w:eastAsia="zh-CN"/>
        </w:rPr>
        <w:t>其他相关的一切费用</w:t>
      </w:r>
      <w:r>
        <w:rPr>
          <w:rFonts w:hint="eastAsia" w:ascii="仿宋_GB2312" w:hAnsi="仿宋_GB2312" w:eastAsia="仿宋_GB2312" w:cs="仿宋_GB2312"/>
          <w:color w:val="auto"/>
          <w:sz w:val="28"/>
          <w:szCs w:val="28"/>
          <w:lang w:eastAsia="zh-CN"/>
        </w:rPr>
        <w:t>。</w:t>
      </w:r>
    </w:p>
    <w:p w14:paraId="19C66051">
      <w:pPr>
        <w:widowControl w:val="0"/>
        <w:kinsoku/>
        <w:autoSpaceDE/>
        <w:autoSpaceDN/>
        <w:spacing w:line="360" w:lineRule="auto"/>
        <w:ind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四、款项结算</w:t>
      </w:r>
    </w:p>
    <w:p w14:paraId="7D104BC2">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（一）付款方式：</w:t>
      </w:r>
      <w:r>
        <w:rPr>
          <w:rFonts w:hint="eastAsia" w:ascii="仿宋_GB2312" w:hAnsi="仿宋_GB2312" w:eastAsia="仿宋_GB2312" w:cs="仿宋_GB2312"/>
          <w:color w:val="auto"/>
          <w:sz w:val="28"/>
          <w:szCs w:val="28"/>
          <w:highlight w:val="none"/>
          <w:lang w:val="en-US" w:eastAsia="zh-CN"/>
        </w:rPr>
        <w:t>结算方式采用“先用后款，按季度结算”进行。由甲方指定专人对乙方车辆出勤、安全行车情况进行考勤登记，乙方凭考勤情况，经确认无误后，于次季度开始前7个工作日内与甲方核算上一季度租赁费用</w:t>
      </w:r>
      <w:r>
        <w:rPr>
          <w:rFonts w:hint="eastAsia" w:ascii="仿宋_GB2312" w:hAnsi="仿宋_GB2312" w:eastAsia="仿宋_GB2312" w:cs="仿宋_GB2312"/>
          <w:color w:val="auto"/>
          <w:sz w:val="28"/>
          <w:szCs w:val="28"/>
          <w:highlight w:val="none"/>
          <w:lang w:eastAsia="zh-CN"/>
        </w:rPr>
        <w:t>。</w:t>
      </w:r>
    </w:p>
    <w:p w14:paraId="5CAE0F08">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（二）结算方式：银行转账。</w:t>
      </w:r>
    </w:p>
    <w:p w14:paraId="55C9CCBD">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（三）结算单位：</w:t>
      </w:r>
      <w:r>
        <w:rPr>
          <w:rFonts w:hint="eastAsia" w:ascii="仿宋_GB2312" w:eastAsia="仿宋_GB2312"/>
          <w:sz w:val="28"/>
          <w:szCs w:val="28"/>
          <w:highlight w:val="none"/>
          <w:lang w:val="zh-CN"/>
        </w:rPr>
        <w:t>由</w:t>
      </w:r>
      <w:r>
        <w:rPr>
          <w:rFonts w:hint="eastAsia" w:ascii="仿宋_GB2312" w:eastAsia="仿宋_GB2312"/>
          <w:sz w:val="28"/>
          <w:szCs w:val="28"/>
          <w:highlight w:val="none"/>
        </w:rPr>
        <w:t>甲方</w:t>
      </w:r>
      <w:r>
        <w:rPr>
          <w:rFonts w:hint="eastAsia" w:ascii="仿宋_GB2312" w:eastAsia="仿宋_GB2312"/>
          <w:sz w:val="28"/>
          <w:szCs w:val="28"/>
          <w:highlight w:val="none"/>
          <w:lang w:val="zh-CN"/>
        </w:rPr>
        <w:t>负责结算，合同签订后，乙方</w:t>
      </w:r>
      <w:r>
        <w:rPr>
          <w:rFonts w:hint="eastAsia" w:ascii="仿宋_GB2312" w:hAnsi="宋体" w:eastAsia="仿宋_GB2312"/>
          <w:sz w:val="28"/>
          <w:szCs w:val="28"/>
          <w:highlight w:val="none"/>
          <w:lang w:val="zh-CN"/>
        </w:rPr>
        <w:t>在每一次</w:t>
      </w:r>
      <w:r>
        <w:rPr>
          <w:rFonts w:hint="eastAsia" w:ascii="仿宋_GB2312" w:hAnsi="宋体" w:eastAsia="仿宋_GB2312"/>
          <w:sz w:val="28"/>
          <w:szCs w:val="28"/>
          <w:highlight w:val="none"/>
          <w:lang w:val="en-US" w:eastAsia="zh-CN"/>
        </w:rPr>
        <w:t>接收</w:t>
      </w:r>
      <w:r>
        <w:rPr>
          <w:rFonts w:hint="eastAsia" w:ascii="仿宋_GB2312" w:hAnsi="宋体" w:eastAsia="仿宋_GB2312"/>
          <w:sz w:val="28"/>
          <w:szCs w:val="28"/>
          <w:highlight w:val="none"/>
          <w:lang w:val="zh-CN"/>
        </w:rPr>
        <w:t>付款前，必须开具等额发票给甲方</w:t>
      </w:r>
      <w:r>
        <w:rPr>
          <w:rFonts w:hint="eastAsia" w:ascii="仿宋_GB2312" w:hAnsi="仿宋_GB2312" w:eastAsia="仿宋_GB2312" w:cs="仿宋_GB2312"/>
          <w:color w:val="auto"/>
          <w:sz w:val="28"/>
          <w:szCs w:val="28"/>
          <w:lang w:eastAsia="zh-CN"/>
        </w:rPr>
        <w:t>。</w:t>
      </w:r>
    </w:p>
    <w:p w14:paraId="21C70477">
      <w:pPr>
        <w:widowControl w:val="0"/>
        <w:kinsoku/>
        <w:autoSpaceDE/>
        <w:autoSpaceDN/>
        <w:spacing w:line="360" w:lineRule="auto"/>
        <w:ind w:firstLine="562" w:firstLineChars="200"/>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五</w:t>
      </w:r>
      <w:r>
        <w:rPr>
          <w:rFonts w:hint="eastAsia" w:ascii="仿宋_GB2312" w:hAnsi="仿宋_GB2312" w:eastAsia="仿宋_GB2312" w:cs="仿宋_GB2312"/>
          <w:b/>
          <w:bCs/>
          <w:color w:val="auto"/>
          <w:sz w:val="28"/>
          <w:szCs w:val="28"/>
          <w:lang w:eastAsia="zh-CN"/>
        </w:rPr>
        <w:t>、服务期、服务地点</w:t>
      </w:r>
      <w:r>
        <w:rPr>
          <w:rFonts w:hint="eastAsia" w:ascii="仿宋_GB2312" w:hAnsi="仿宋_GB2312" w:eastAsia="仿宋_GB2312" w:cs="仿宋_GB2312"/>
          <w:b/>
          <w:bCs/>
          <w:color w:val="auto"/>
          <w:sz w:val="28"/>
          <w:szCs w:val="28"/>
          <w:lang w:val="en-US" w:eastAsia="zh-CN"/>
        </w:rPr>
        <w:t>及行车线路</w:t>
      </w:r>
    </w:p>
    <w:p w14:paraId="1EE6C2E7">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（一）服务期：</w:t>
      </w:r>
      <w:r>
        <w:rPr>
          <w:rFonts w:hint="eastAsia" w:ascii="仿宋_GB2312" w:hAnsi="仿宋_GB2312" w:eastAsia="仿宋_GB2312" w:cs="仿宋_GB2312"/>
          <w:color w:val="auto"/>
          <w:sz w:val="28"/>
          <w:szCs w:val="28"/>
          <w:highlight w:val="none"/>
          <w:lang w:val="en-US" w:eastAsia="zh-CN"/>
        </w:rPr>
        <w:t>1年（365天），按照采购人指定的通勤路线、时间要求，全天候提供职工上下班通勤车租赁服务，无节假日</w:t>
      </w:r>
      <w:r>
        <w:rPr>
          <w:rFonts w:hint="eastAsia" w:ascii="仿宋_GB2312" w:hAnsi="仿宋_GB2312" w:eastAsia="仿宋_GB2312" w:cs="仿宋_GB2312"/>
          <w:color w:val="auto"/>
          <w:sz w:val="28"/>
          <w:szCs w:val="28"/>
          <w:highlight w:val="none"/>
          <w:lang w:eastAsia="zh-CN"/>
        </w:rPr>
        <w:t>。本项目采取一次招标三年沿用，在后期项目实施阶段采购人可根据《政府购买服务管理办法》（财政部令第102号）文件的规定</w:t>
      </w:r>
      <w:bookmarkStart w:id="0" w:name="_GoBack"/>
      <w:bookmarkEnd w:id="0"/>
      <w:r>
        <w:rPr>
          <w:rFonts w:hint="eastAsia" w:ascii="仿宋_GB2312" w:hAnsi="仿宋_GB2312" w:eastAsia="仿宋_GB2312" w:cs="仿宋_GB2312"/>
          <w:color w:val="auto"/>
          <w:sz w:val="28"/>
          <w:szCs w:val="28"/>
          <w:highlight w:val="none"/>
          <w:lang w:eastAsia="zh-CN"/>
        </w:rPr>
        <w:t>，在费用不变，合同内容不变，且符合合同服务内容和要求，量化考核达标的情况下，为了保证服务工作的延续性，可进行续签，续签合同期限不超过两年。</w:t>
      </w:r>
    </w:p>
    <w:p w14:paraId="3AB5DEF3">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（二）服务地点：</w:t>
      </w:r>
      <w:r>
        <w:rPr>
          <w:rFonts w:hint="eastAsia" w:ascii="仿宋_GB2312" w:hAnsi="仿宋_GB2312" w:eastAsia="仿宋_GB2312" w:cs="仿宋_GB2312"/>
          <w:color w:val="auto"/>
          <w:sz w:val="28"/>
          <w:szCs w:val="28"/>
          <w:highlight w:val="none"/>
          <w:lang w:val="en-US" w:eastAsia="zh-CN"/>
        </w:rPr>
        <w:t>西安市范围</w:t>
      </w:r>
      <w:r>
        <w:rPr>
          <w:rFonts w:hint="eastAsia" w:ascii="仿宋_GB2312" w:hAnsi="仿宋_GB2312" w:eastAsia="仿宋_GB2312" w:cs="仿宋_GB2312"/>
          <w:color w:val="auto"/>
          <w:sz w:val="28"/>
          <w:szCs w:val="28"/>
          <w:highlight w:val="none"/>
          <w:lang w:eastAsia="zh-CN"/>
        </w:rPr>
        <w:t>内</w:t>
      </w:r>
      <w:r>
        <w:rPr>
          <w:rFonts w:hint="eastAsia" w:ascii="仿宋_GB2312" w:hAnsi="仿宋_GB2312" w:eastAsia="仿宋_GB2312" w:cs="仿宋_GB2312"/>
          <w:snapToGrid/>
          <w:color w:val="auto"/>
          <w:sz w:val="28"/>
          <w:szCs w:val="28"/>
          <w:highlight w:val="none"/>
          <w:lang w:eastAsia="zh-CN"/>
        </w:rPr>
        <w:t>，具体以甲方指定地点为准</w:t>
      </w:r>
      <w:r>
        <w:rPr>
          <w:rFonts w:hint="eastAsia" w:ascii="仿宋_GB2312" w:hAnsi="仿宋_GB2312" w:eastAsia="仿宋_GB2312" w:cs="仿宋_GB2312"/>
          <w:color w:val="auto"/>
          <w:sz w:val="28"/>
          <w:szCs w:val="28"/>
          <w:highlight w:val="none"/>
          <w:lang w:eastAsia="zh-CN"/>
        </w:rPr>
        <w:t>。</w:t>
      </w:r>
    </w:p>
    <w:p w14:paraId="676D65E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eastAsia="zh-CN"/>
        </w:rPr>
        <w:t>（</w:t>
      </w:r>
      <w:r>
        <w:rPr>
          <w:rFonts w:hint="eastAsia" w:ascii="仿宋_GB2312" w:hAnsi="仿宋" w:eastAsia="仿宋_GB2312"/>
          <w:b w:val="0"/>
          <w:bCs/>
          <w:sz w:val="28"/>
          <w:szCs w:val="28"/>
          <w:highlight w:val="none"/>
          <w:lang w:val="en-US" w:eastAsia="zh-CN"/>
        </w:rPr>
        <w:t>三</w:t>
      </w:r>
      <w:r>
        <w:rPr>
          <w:rFonts w:hint="eastAsia" w:ascii="仿宋_GB2312" w:hAnsi="仿宋" w:eastAsia="仿宋_GB2312"/>
          <w:b w:val="0"/>
          <w:bCs/>
          <w:sz w:val="28"/>
          <w:szCs w:val="28"/>
          <w:highlight w:val="none"/>
          <w:lang w:eastAsia="zh-CN"/>
        </w:rPr>
        <w:t>）</w:t>
      </w:r>
      <w:r>
        <w:rPr>
          <w:rFonts w:hint="eastAsia" w:ascii="仿宋_GB2312" w:hAnsi="仿宋" w:eastAsia="仿宋_GB2312"/>
          <w:b w:val="0"/>
          <w:bCs/>
          <w:sz w:val="28"/>
          <w:szCs w:val="28"/>
          <w:highlight w:val="none"/>
          <w:lang w:val="en-US" w:eastAsia="zh-CN"/>
        </w:rPr>
        <w:t>行车线路：</w:t>
      </w:r>
    </w:p>
    <w:p w14:paraId="3212854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lang w:val="en-US" w:eastAsia="zh-CN"/>
        </w:rPr>
      </w:pPr>
      <w:r>
        <w:rPr>
          <w:rFonts w:hint="eastAsia" w:ascii="仿宋_GB2312" w:hAnsi="仿宋" w:eastAsia="仿宋_GB2312"/>
          <w:b/>
          <w:bCs w:val="0"/>
          <w:sz w:val="28"/>
          <w:szCs w:val="28"/>
          <w:highlight w:val="none"/>
          <w:lang w:val="en-US" w:eastAsia="zh-CN"/>
        </w:rPr>
        <w:t>合同包1：西安通勤车线路</w:t>
      </w:r>
    </w:p>
    <w:p w14:paraId="5252F45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西安区域内按照职工居住方位，共设4条线路（四辆车各行驶一条线路）。每天早上上班从西安发车到临潼，每天下午下班从临潼发车回西安。</w:t>
      </w:r>
    </w:p>
    <w:p w14:paraId="01C10CA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1）黄雁村线路：黄雁村（地铁站）----西后地----南门----南二环（体育场东门）----武警医院----立丰国际----石家街----西临高速----博物院西门停车场。返回路线：博物院西门停车场----西临高速----石家街----立丰国际----武警医院----南二环（体育场东门）----西后地----黄雁村（地铁站）。</w:t>
      </w:r>
    </w:p>
    <w:p w14:paraId="34D2D90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（2）建国路线路：建国路----东门外----景龙池----长乐公园----东二环----石家街----西临高速----博物院西门停车场。（往返路线相同）</w:t>
      </w:r>
    </w:p>
    <w:p w14:paraId="69AFD97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3）南郊线路：西斜七路----吉祥村肯德基店----子午路出租车站----小寨公交站----历史博物馆----西影厂门口----曲江路龙湖小区过街天桥----曲江路汉华城门口----曲江转盘----绕城高速----西临高速----博物院西门停车场。（往返路线相同）</w:t>
      </w:r>
    </w:p>
    <w:p w14:paraId="7E4C5FA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4）北郊线路：凤城七路与文景路路口----熙地港----未央路----北二环公交六公司站----锦园小区----辛家庙地铁口----石家街----西临高速----博物院西门停车场。返回路线：博物院西门停车场----西临高速----石家街----辛家庙地铁口----锦园小区----北二环公交六公司站----开元路----凤城七路。</w:t>
      </w:r>
    </w:p>
    <w:p w14:paraId="258F2C1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注：本包共有4条初步路线，具体路线后期可根据实际情况进行调整。如因道路交通管制、道路封闭等情况，双方协商择优选择路线安全运行，合同费用不发生改变。</w:t>
      </w:r>
    </w:p>
    <w:p w14:paraId="2FD7D8B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lang w:val="en-US" w:eastAsia="zh-CN"/>
        </w:rPr>
      </w:pPr>
      <w:r>
        <w:rPr>
          <w:rFonts w:hint="eastAsia" w:ascii="仿宋_GB2312" w:hAnsi="仿宋" w:eastAsia="仿宋_GB2312"/>
          <w:b/>
          <w:bCs w:val="0"/>
          <w:sz w:val="28"/>
          <w:szCs w:val="28"/>
          <w:highlight w:val="none"/>
          <w:lang w:val="en-US" w:eastAsia="zh-CN"/>
        </w:rPr>
        <w:t>合同包2：临潼通勤车线路</w:t>
      </w:r>
    </w:p>
    <w:p w14:paraId="0ED8969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临潼区域内按照职工居住方位，共设3条线路。每天早上上班从临潼发3辆（所有班车）到博物院，中午下班返回2辆（18楼和28楼班车）；下午上班从临潼发2辆（18楼和28楼班车），下午下班返回临潼3辆（所有班车）。</w:t>
      </w:r>
    </w:p>
    <w:p w14:paraId="32C1D39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1）18楼线路。上班路线：临潼秦俑小区（18楼）----中心广场----军干所----瑞麟君府----秦唐大道----丽山园----博物院西门停车场。返回路线：博物院西门停车场----丽山园----秦唐大道----瑞麟君府----军干所----中心广场----临潼秦俑小区（18楼）。</w:t>
      </w:r>
    </w:p>
    <w:p w14:paraId="6B4E150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2）大唐华清城线路。上班路线：临潼南大街南口----空疗----爱琴海路口----人民路西口----临潼秦俑小区（18楼）----中心广场----军干所----瑞麟君府----秦唐大道----丽山园----博物院西门停车场。返回路线：博物院西门停车场----丽山园----秦唐大道----华清中学----临潼南大街南口----空疗----爱琴海路口----人民路西口----临潼秦俑小区（18楼）。</w:t>
      </w:r>
    </w:p>
    <w:p w14:paraId="3743B57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3）28楼线路：上班路线：骊景美舍小区----华清新苑----秦陵小区（临潼28楼）----中心广场（地铁口）----人民路东口----东关正街----西秀岭小区----会昌路----秦唐大道----丽山园----博物院西门停车场。返回路线：博物院西门停车场----丽山园----秦唐大道----会昌路----西秀岭小区----东关正街----人民路东口----中心广场（地铁口）----秦陵小区（临潼28楼）----华清新苑----骊景美舍小区。</w:t>
      </w:r>
    </w:p>
    <w:p w14:paraId="6803EC6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val="0"/>
          <w:bCs/>
          <w:sz w:val="28"/>
          <w:szCs w:val="28"/>
          <w:highlight w:val="none"/>
          <w:lang w:val="en-US" w:eastAsia="zh-CN"/>
        </w:rPr>
      </w:pPr>
      <w:r>
        <w:rPr>
          <w:rFonts w:hint="eastAsia" w:ascii="仿宋_GB2312" w:hAnsi="仿宋" w:eastAsia="仿宋_GB2312"/>
          <w:b w:val="0"/>
          <w:bCs/>
          <w:sz w:val="28"/>
          <w:szCs w:val="28"/>
          <w:highlight w:val="none"/>
          <w:lang w:val="en-US" w:eastAsia="zh-CN"/>
        </w:rPr>
        <w:t>注：本包共有3条初步路线，具体路线后期可根据实际情况进行调整。如因道路交通管制、道路封闭等情况，双方协商择优选择路线安全运行，合同费用不发生改变。</w:t>
      </w:r>
    </w:p>
    <w:p w14:paraId="0845E9D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
          <w:sz w:val="28"/>
          <w:szCs w:val="28"/>
          <w:highlight w:val="none"/>
          <w:lang w:val="en-US" w:eastAsia="zh-CN"/>
        </w:rPr>
      </w:pPr>
      <w:r>
        <w:rPr>
          <w:rFonts w:hint="eastAsia" w:ascii="仿宋_GB2312" w:hAnsi="仿宋" w:eastAsia="仿宋_GB2312"/>
          <w:b w:val="0"/>
          <w:bCs/>
          <w:sz w:val="28"/>
          <w:szCs w:val="28"/>
          <w:highlight w:val="none"/>
          <w:lang w:val="en-US" w:eastAsia="zh-CN"/>
        </w:rPr>
        <w:t>（四）在费用不变，合同内容不变，且符合合同服务内容和要求，经量化考核达标的情况下，为了保证通勤车租赁服务工作的延续性，本协议可在到期后进行续签，续签合同期限不超过两年。</w:t>
      </w:r>
    </w:p>
    <w:p w14:paraId="3116868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 w:eastAsia="仿宋_GB2312"/>
          <w:b/>
          <w:sz w:val="28"/>
          <w:szCs w:val="28"/>
          <w:highlight w:val="none"/>
        </w:rPr>
      </w:pPr>
      <w:r>
        <w:rPr>
          <w:rFonts w:hint="eastAsia" w:ascii="仿宋_GB2312" w:hAnsi="仿宋" w:eastAsia="仿宋_GB2312"/>
          <w:b/>
          <w:sz w:val="28"/>
          <w:szCs w:val="28"/>
          <w:highlight w:val="none"/>
        </w:rPr>
        <w:t>六、租赁车辆运行</w:t>
      </w:r>
    </w:p>
    <w:p w14:paraId="034C4A9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 xml:space="preserve">（一）若需要增加租赁车辆数的，甲方应当提前3日通知乙方；若需要更新（换）租赁车辆的，甲方应当提前30日通知乙方。 </w:t>
      </w:r>
    </w:p>
    <w:p w14:paraId="3C8EA66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（二）租赁车辆运行班次以甲方提供的通勤班车线路班次表为准，若有临时发生变化的，乙方应当按照甲方要求予以执行。</w:t>
      </w:r>
    </w:p>
    <w:p w14:paraId="72346EA8">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 w:eastAsia="仿宋_GB2312"/>
          <w:b/>
          <w:bCs/>
          <w:sz w:val="28"/>
          <w:szCs w:val="28"/>
        </w:rPr>
      </w:pPr>
      <w:r>
        <w:rPr>
          <w:rFonts w:hint="eastAsia" w:ascii="仿宋_GB2312" w:hAnsi="仿宋" w:eastAsia="仿宋_GB2312"/>
          <w:b/>
          <w:bCs/>
          <w:sz w:val="28"/>
          <w:szCs w:val="28"/>
        </w:rPr>
        <w:t>七、甲方的权利与义务</w:t>
      </w:r>
    </w:p>
    <w:p w14:paraId="385B85C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（一）甲方按照本合同约定向乙方支付租赁费用。</w:t>
      </w:r>
    </w:p>
    <w:p w14:paraId="05D3EC3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（二）甲方可根据实际情况在保证行车路线不变、路况允许并不违反交通法规的前提下，增加或删减停靠点。甲方乘车人员须按照规定的时间、地点乘车，乘车时不得干扰司机工作。</w:t>
      </w:r>
    </w:p>
    <w:p w14:paraId="7B63AA4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（三）除本合同已有约定外，甲方临时用车所产生的费用，由甲乙双方协商而定。</w:t>
      </w:r>
    </w:p>
    <w:p w14:paraId="285B8F3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（四）为方便工作，甲方向乙方提供来院车辆停放地点。</w:t>
      </w:r>
    </w:p>
    <w:p w14:paraId="43F776E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 w:eastAsia="仿宋_GB2312"/>
          <w:b/>
          <w:sz w:val="28"/>
          <w:szCs w:val="28"/>
        </w:rPr>
      </w:pPr>
      <w:r>
        <w:rPr>
          <w:rFonts w:hint="eastAsia" w:ascii="仿宋_GB2312" w:hAnsi="仿宋" w:eastAsia="仿宋_GB2312"/>
          <w:b/>
          <w:sz w:val="28"/>
          <w:szCs w:val="28"/>
        </w:rPr>
        <w:t>八、乙方的权利与义务</w:t>
      </w:r>
    </w:p>
    <w:p w14:paraId="6BA1949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（一）</w:t>
      </w:r>
      <w:r>
        <w:rPr>
          <w:rFonts w:hint="eastAsia" w:ascii="仿宋_GB2312" w:hAnsi="仿宋" w:eastAsia="仿宋_GB2312"/>
          <w:sz w:val="28"/>
          <w:szCs w:val="28"/>
        </w:rPr>
        <w:t>乙方按照本合同约定及甲方规定日期为甲方提供租赁车辆作为通勤班车使用。乙方按照国家法律法规规定要求为车辆及驾驶员购买完备的各类保险，在合同履行期间，产生的全部安全事故及行政处罚责任由乙方自行承担。</w:t>
      </w:r>
    </w:p>
    <w:p w14:paraId="357E847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（二）</w:t>
      </w:r>
      <w:r>
        <w:rPr>
          <w:rFonts w:hint="eastAsia" w:ascii="仿宋_GB2312" w:hAnsi="仿宋" w:eastAsia="仿宋_GB2312"/>
          <w:sz w:val="28"/>
          <w:szCs w:val="28"/>
        </w:rPr>
        <w:t>乙方为甲方提供的车辆及驾驶员原则上应予固定并向甲方报备，若因特殊原因需要临时进行调整的，应当提前3日告知甲方并报备。</w:t>
      </w:r>
    </w:p>
    <w:p w14:paraId="38EDCEC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（三）</w:t>
      </w:r>
      <w:r>
        <w:rPr>
          <w:rFonts w:hint="eastAsia" w:ascii="仿宋_GB2312" w:hAnsi="仿宋" w:eastAsia="仿宋_GB2312"/>
          <w:sz w:val="28"/>
          <w:szCs w:val="28"/>
        </w:rPr>
        <w:t>乙方应当按照车辆保养要求和实际车况及时维修和保养租赁车辆，保证租赁车辆及其相关附属设施正常运行。租赁车辆运行期间，应当保证乘车人员的人身与财产安全，发生交通事故及交通违章等均由乙方负责解决并承担所有责任。</w:t>
      </w:r>
    </w:p>
    <w:p w14:paraId="6F13539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（四）</w:t>
      </w:r>
      <w:r>
        <w:rPr>
          <w:rFonts w:hint="eastAsia" w:ascii="仿宋_GB2312" w:hAnsi="仿宋" w:eastAsia="仿宋_GB2312"/>
          <w:sz w:val="28"/>
          <w:szCs w:val="28"/>
        </w:rPr>
        <w:t>乙方负责租赁车辆驾驶员的安排，应当向甲方提供具备租赁车型驾驶资质，且具有丰富经验和良好素质的驾驶员，保证安全、准时完成通勤任务。在开车时，做到文明驾驶，不聊天、不吸烟、不打电话。司机应当根据天气情况及时调节车内温度，保证乘车人员的舒适要求。</w:t>
      </w:r>
    </w:p>
    <w:p w14:paraId="7CB2D8A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（五）</w:t>
      </w:r>
      <w:r>
        <w:rPr>
          <w:rFonts w:hint="eastAsia" w:ascii="仿宋_GB2312" w:hAnsi="仿宋" w:eastAsia="仿宋_GB2312"/>
          <w:sz w:val="28"/>
          <w:szCs w:val="28"/>
        </w:rPr>
        <w:t>乙方应当定期做好驾驶员的安全教育培训。</w:t>
      </w:r>
    </w:p>
    <w:p w14:paraId="52C77D1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（六）</w:t>
      </w:r>
      <w:r>
        <w:rPr>
          <w:rFonts w:hint="eastAsia" w:ascii="仿宋_GB2312" w:hAnsi="仿宋" w:eastAsia="仿宋_GB2312"/>
          <w:sz w:val="28"/>
          <w:szCs w:val="28"/>
        </w:rPr>
        <w:t>乙方为租赁车辆安装GPS定位系统，并安排专人对租赁车辆进行实时监控。</w:t>
      </w:r>
    </w:p>
    <w:p w14:paraId="7F4B9F1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bCs/>
          <w:sz w:val="28"/>
          <w:szCs w:val="28"/>
        </w:rPr>
        <w:t>（七）</w:t>
      </w:r>
      <w:r>
        <w:rPr>
          <w:rFonts w:hint="eastAsia" w:ascii="仿宋_GB2312" w:hAnsi="仿宋" w:eastAsia="仿宋_GB2312"/>
          <w:sz w:val="28"/>
          <w:szCs w:val="28"/>
        </w:rPr>
        <w:t>租赁车辆如发生故障不能正常行驶，乙方应当及时更换故障车辆，并在70分钟内提供与本合同租赁车辆相当的其他车辆保证甲方的使用需要。70分钟内未提供换乘车辆的视为延误，甲方有权直接从租赁费用予以等额扣除，并偿付甲方2000元人民币延误费。</w:t>
      </w:r>
    </w:p>
    <w:p w14:paraId="509C6A4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lang w:eastAsia="zh-CN"/>
        </w:rPr>
        <w:t>（</w:t>
      </w:r>
      <w:r>
        <w:rPr>
          <w:rFonts w:hint="eastAsia" w:ascii="仿宋_GB2312" w:hAnsi="仿宋" w:eastAsia="仿宋_GB2312"/>
          <w:sz w:val="28"/>
          <w:szCs w:val="28"/>
          <w:lang w:val="en-US" w:eastAsia="zh-CN"/>
        </w:rPr>
        <w:t>八</w:t>
      </w:r>
      <w:r>
        <w:rPr>
          <w:rFonts w:hint="eastAsia" w:ascii="仿宋_GB2312" w:hAnsi="仿宋" w:eastAsia="仿宋_GB2312"/>
          <w:sz w:val="28"/>
          <w:szCs w:val="28"/>
          <w:lang w:eastAsia="zh-CN"/>
        </w:rPr>
        <w:t>）</w:t>
      </w:r>
      <w:r>
        <w:rPr>
          <w:rFonts w:hint="eastAsia" w:ascii="仿宋_GB2312" w:hAnsi="仿宋" w:eastAsia="仿宋_GB2312"/>
          <w:sz w:val="28"/>
          <w:szCs w:val="28"/>
        </w:rPr>
        <w:t>乙方安排的驾驶人员与甲方不存在任何劳动或劳务关系，由于驾驶人员履行工作职责发生的任何意外及相关责任由乙方自行承担，与甲方无关。</w:t>
      </w:r>
    </w:p>
    <w:p w14:paraId="18FFFB6A">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sz w:val="28"/>
          <w:szCs w:val="28"/>
        </w:rPr>
      </w:pPr>
      <w:r>
        <w:rPr>
          <w:rFonts w:hint="eastAsia" w:ascii="仿宋_GB2312" w:hAnsi="仿宋" w:eastAsia="仿宋_GB2312"/>
          <w:b/>
          <w:sz w:val="28"/>
          <w:szCs w:val="28"/>
        </w:rPr>
        <w:t>九、违约责任</w:t>
      </w:r>
    </w:p>
    <w:p w14:paraId="6950AA7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（一）按《</w:t>
      </w:r>
      <w:r>
        <w:rPr>
          <w:rFonts w:hint="eastAsia" w:ascii="仿宋_GB2312" w:hAnsi="仿宋" w:eastAsia="仿宋_GB2312"/>
          <w:bCs/>
          <w:sz w:val="28"/>
          <w:szCs w:val="28"/>
          <w:lang w:val="en-US" w:eastAsia="zh-CN"/>
        </w:rPr>
        <w:t>中华人民共和国民法典</w:t>
      </w:r>
      <w:r>
        <w:rPr>
          <w:rFonts w:hint="eastAsia" w:ascii="仿宋_GB2312" w:hAnsi="仿宋" w:eastAsia="仿宋_GB2312"/>
          <w:bCs/>
          <w:sz w:val="28"/>
          <w:szCs w:val="28"/>
        </w:rPr>
        <w:t>》中的相关条款执行。</w:t>
      </w:r>
    </w:p>
    <w:p w14:paraId="512D4EC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（二）本合同未尽事宜，或任何一方需要变更本合同约定的，由甲乙双方协商一致后签订补充协议。</w:t>
      </w:r>
    </w:p>
    <w:p w14:paraId="00C81D8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（三）未按合同要求提供服务或服务质量不能满足本次磋商要求，甲方会同监督机构、采购代理机构有权终止合同和对乙方违约行为进行追究，同时按政府采购法的有关规定进行相应的处罚。</w:t>
      </w:r>
    </w:p>
    <w:p w14:paraId="5AFAB81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（四）本合同租赁期限内，甲乙双方均不得无故提前终止本合同履行。否则，提前终止方应当按照本合同租赁期限减少期间租赁费用总额的50%承担违约金。</w:t>
      </w:r>
    </w:p>
    <w:p w14:paraId="2FFA3A8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rPr>
      </w:pPr>
      <w:r>
        <w:rPr>
          <w:rFonts w:hint="eastAsia" w:ascii="仿宋_GB2312" w:hAnsi="仿宋" w:eastAsia="仿宋_GB2312"/>
          <w:bCs/>
          <w:sz w:val="28"/>
          <w:szCs w:val="28"/>
        </w:rPr>
        <w:t>（五）乙方违反本合同约定的，应当立即自行整改；情节严重或整改不力的，甲方有权采取要求乙方替换驾驶员或扣减租赁费用等方式追究乙方违约责任；造成甲方通勤不能正常进行或受阻的，甲方有权立即解除本合同，且无须乙方同意。</w:t>
      </w:r>
    </w:p>
    <w:p w14:paraId="05C59D7B">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sz w:val="28"/>
          <w:szCs w:val="28"/>
        </w:rPr>
      </w:pPr>
      <w:r>
        <w:rPr>
          <w:rFonts w:hint="eastAsia" w:ascii="仿宋_GB2312" w:hAnsi="仿宋" w:eastAsia="仿宋_GB2312"/>
          <w:b/>
          <w:sz w:val="28"/>
          <w:szCs w:val="28"/>
        </w:rPr>
        <w:t>十、合同争议解决的方式</w:t>
      </w:r>
    </w:p>
    <w:p w14:paraId="4E6E2A3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7CEAB35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w:t>
      </w:r>
      <w:r>
        <w:rPr>
          <w:rFonts w:hint="eastAsia" w:ascii="仿宋_GB2312" w:hAnsi="仿宋" w:eastAsia="仿宋_GB2312"/>
          <w:bCs/>
          <w:sz w:val="28"/>
          <w:szCs w:val="28"/>
          <w:lang w:val="en-US" w:eastAsia="zh-CN"/>
        </w:rPr>
        <w:t>中华人民共和国民法典</w:t>
      </w:r>
      <w:r>
        <w:rPr>
          <w:rFonts w:hint="eastAsia" w:ascii="仿宋_GB2312" w:hAnsi="仿宋" w:eastAsia="仿宋_GB2312"/>
          <w:bCs/>
          <w:sz w:val="28"/>
          <w:szCs w:val="28"/>
        </w:rPr>
        <w:t>》的有关规定承担相应责任。</w:t>
      </w:r>
    </w:p>
    <w:p w14:paraId="39B58C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772CFAE1">
      <w:pPr>
        <w:spacing w:line="360" w:lineRule="auto"/>
        <w:ind w:firstLine="560" w:firstLineChars="200"/>
        <w:rPr>
          <w:rFonts w:ascii="仿宋_GB2312" w:hAnsi="仿宋_GB2312" w:eastAsia="仿宋_GB2312" w:cs="仿宋_GB2312"/>
          <w:sz w:val="28"/>
          <w:szCs w:val="28"/>
        </w:rPr>
      </w:pPr>
      <w:r>
        <w:rPr>
          <w:rFonts w:hint="eastAsia" w:ascii="仿宋_GB2312" w:hAnsi="仿宋" w:eastAsia="仿宋_GB2312"/>
          <w:bCs/>
          <w:sz w:val="28"/>
          <w:szCs w:val="28"/>
        </w:rPr>
        <w:t>（四）本合同如有未尽事宜，甲、乙双方协商解决</w:t>
      </w:r>
      <w:r>
        <w:rPr>
          <w:rFonts w:hint="eastAsia" w:ascii="仿宋_GB2312" w:hAnsi="仿宋_GB2312" w:eastAsia="仿宋_GB2312" w:cs="仿宋_GB2312"/>
          <w:sz w:val="28"/>
          <w:szCs w:val="28"/>
        </w:rPr>
        <w:t>。</w:t>
      </w:r>
    </w:p>
    <w:p w14:paraId="48068CBD">
      <w:pPr>
        <w:pStyle w:val="8"/>
        <w:tabs>
          <w:tab w:val="center" w:pos="4153"/>
          <w:tab w:val="right" w:pos="8306"/>
          <w:tab w:val="clear" w:pos="4140"/>
          <w:tab w:val="clear" w:pos="8300"/>
        </w:tabs>
        <w:rPr>
          <w:rFonts w:ascii="仿宋_GB2312" w:hAnsi="仿宋_GB2312" w:eastAsia="仿宋_GB2312" w:cs="仿宋_GB2312"/>
          <w:sz w:val="28"/>
          <w:szCs w:val="28"/>
        </w:rPr>
      </w:pPr>
    </w:p>
    <w:tbl>
      <w:tblPr>
        <w:tblStyle w:val="13"/>
        <w:tblW w:w="0" w:type="auto"/>
        <w:jc w:val="center"/>
        <w:tblLayout w:type="fixed"/>
        <w:tblCellMar>
          <w:top w:w="0" w:type="dxa"/>
          <w:left w:w="108" w:type="dxa"/>
          <w:bottom w:w="0" w:type="dxa"/>
          <w:right w:w="108" w:type="dxa"/>
        </w:tblCellMar>
      </w:tblPr>
      <w:tblGrid>
        <w:gridCol w:w="4201"/>
        <w:gridCol w:w="4202"/>
      </w:tblGrid>
      <w:tr w14:paraId="7ADEF8A1">
        <w:tblPrEx>
          <w:tblCellMar>
            <w:top w:w="0" w:type="dxa"/>
            <w:left w:w="108" w:type="dxa"/>
            <w:bottom w:w="0" w:type="dxa"/>
            <w:right w:w="108" w:type="dxa"/>
          </w:tblCellMar>
        </w:tblPrEx>
        <w:trPr>
          <w:trHeight w:val="567" w:hRule="exact"/>
          <w:jc w:val="center"/>
        </w:trPr>
        <w:tc>
          <w:tcPr>
            <w:tcW w:w="4201" w:type="dxa"/>
            <w:noWrap w:val="0"/>
            <w:vAlign w:val="center"/>
          </w:tcPr>
          <w:p w14:paraId="304D2A9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499C4A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1AD84AED">
        <w:tblPrEx>
          <w:tblCellMar>
            <w:top w:w="0" w:type="dxa"/>
            <w:left w:w="108" w:type="dxa"/>
            <w:bottom w:w="0" w:type="dxa"/>
            <w:right w:w="108" w:type="dxa"/>
          </w:tblCellMar>
        </w:tblPrEx>
        <w:trPr>
          <w:trHeight w:val="567" w:hRule="exact"/>
          <w:jc w:val="center"/>
        </w:trPr>
        <w:tc>
          <w:tcPr>
            <w:tcW w:w="4201" w:type="dxa"/>
            <w:noWrap w:val="0"/>
            <w:vAlign w:val="center"/>
          </w:tcPr>
          <w:p w14:paraId="25776D00">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3006333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5448D3B">
        <w:tblPrEx>
          <w:tblCellMar>
            <w:top w:w="0" w:type="dxa"/>
            <w:left w:w="108" w:type="dxa"/>
            <w:bottom w:w="0" w:type="dxa"/>
            <w:right w:w="108" w:type="dxa"/>
          </w:tblCellMar>
        </w:tblPrEx>
        <w:trPr>
          <w:trHeight w:val="567" w:hRule="exact"/>
          <w:jc w:val="center"/>
        </w:trPr>
        <w:tc>
          <w:tcPr>
            <w:tcW w:w="4201" w:type="dxa"/>
            <w:noWrap w:val="0"/>
            <w:vAlign w:val="center"/>
          </w:tcPr>
          <w:p w14:paraId="6899C4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13194C5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E303375">
        <w:tblPrEx>
          <w:tblCellMar>
            <w:top w:w="0" w:type="dxa"/>
            <w:left w:w="108" w:type="dxa"/>
            <w:bottom w:w="0" w:type="dxa"/>
            <w:right w:w="108" w:type="dxa"/>
          </w:tblCellMar>
        </w:tblPrEx>
        <w:trPr>
          <w:trHeight w:val="567" w:hRule="exact"/>
          <w:jc w:val="center"/>
        </w:trPr>
        <w:tc>
          <w:tcPr>
            <w:tcW w:w="4201" w:type="dxa"/>
            <w:noWrap w:val="0"/>
            <w:vAlign w:val="center"/>
          </w:tcPr>
          <w:p w14:paraId="62A1912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280DA8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479507CB">
        <w:tblPrEx>
          <w:tblCellMar>
            <w:top w:w="0" w:type="dxa"/>
            <w:left w:w="108" w:type="dxa"/>
            <w:bottom w:w="0" w:type="dxa"/>
            <w:right w:w="108" w:type="dxa"/>
          </w:tblCellMar>
        </w:tblPrEx>
        <w:trPr>
          <w:trHeight w:val="567" w:hRule="exact"/>
          <w:jc w:val="center"/>
        </w:trPr>
        <w:tc>
          <w:tcPr>
            <w:tcW w:w="4201" w:type="dxa"/>
            <w:noWrap w:val="0"/>
            <w:vAlign w:val="center"/>
          </w:tcPr>
          <w:p w14:paraId="5C86B54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2B686AD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3060D77D">
        <w:tblPrEx>
          <w:tblCellMar>
            <w:top w:w="0" w:type="dxa"/>
            <w:left w:w="108" w:type="dxa"/>
            <w:bottom w:w="0" w:type="dxa"/>
            <w:right w:w="108" w:type="dxa"/>
          </w:tblCellMar>
        </w:tblPrEx>
        <w:trPr>
          <w:trHeight w:val="567" w:hRule="exact"/>
          <w:jc w:val="center"/>
        </w:trPr>
        <w:tc>
          <w:tcPr>
            <w:tcW w:w="4201" w:type="dxa"/>
            <w:noWrap w:val="0"/>
            <w:vAlign w:val="center"/>
          </w:tcPr>
          <w:p w14:paraId="16FD4D5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c>
          <w:tcPr>
            <w:tcW w:w="4202" w:type="dxa"/>
            <w:noWrap w:val="0"/>
            <w:vAlign w:val="center"/>
          </w:tcPr>
          <w:p w14:paraId="00BE403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r>
      <w:tr w14:paraId="0F9B1425">
        <w:tblPrEx>
          <w:tblCellMar>
            <w:top w:w="0" w:type="dxa"/>
            <w:left w:w="108" w:type="dxa"/>
            <w:bottom w:w="0" w:type="dxa"/>
            <w:right w:w="108" w:type="dxa"/>
          </w:tblCellMar>
        </w:tblPrEx>
        <w:trPr>
          <w:trHeight w:val="567" w:hRule="exact"/>
          <w:jc w:val="center"/>
        </w:trPr>
        <w:tc>
          <w:tcPr>
            <w:tcW w:w="4201" w:type="dxa"/>
            <w:noWrap w:val="0"/>
            <w:vAlign w:val="center"/>
          </w:tcPr>
          <w:p w14:paraId="0C43391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381ED113">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4921C625">
        <w:tblPrEx>
          <w:tblCellMar>
            <w:top w:w="0" w:type="dxa"/>
            <w:left w:w="108" w:type="dxa"/>
            <w:bottom w:w="0" w:type="dxa"/>
            <w:right w:w="108" w:type="dxa"/>
          </w:tblCellMar>
        </w:tblPrEx>
        <w:trPr>
          <w:trHeight w:val="567" w:hRule="exact"/>
          <w:jc w:val="center"/>
        </w:trPr>
        <w:tc>
          <w:tcPr>
            <w:tcW w:w="4201" w:type="dxa"/>
            <w:noWrap w:val="0"/>
            <w:vAlign w:val="center"/>
          </w:tcPr>
          <w:p w14:paraId="3CA299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8B6A2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1D467A8A">
        <w:tblPrEx>
          <w:tblCellMar>
            <w:top w:w="0" w:type="dxa"/>
            <w:left w:w="108" w:type="dxa"/>
            <w:bottom w:w="0" w:type="dxa"/>
            <w:right w:w="108" w:type="dxa"/>
          </w:tblCellMar>
        </w:tblPrEx>
        <w:trPr>
          <w:trHeight w:val="567" w:hRule="exact"/>
          <w:jc w:val="center"/>
        </w:trPr>
        <w:tc>
          <w:tcPr>
            <w:tcW w:w="4201" w:type="dxa"/>
            <w:noWrap w:val="0"/>
            <w:vAlign w:val="center"/>
          </w:tcPr>
          <w:p w14:paraId="32092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48B74B7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E0F058F">
        <w:tblPrEx>
          <w:tblCellMar>
            <w:top w:w="0" w:type="dxa"/>
            <w:left w:w="108" w:type="dxa"/>
            <w:bottom w:w="0" w:type="dxa"/>
            <w:right w:w="108" w:type="dxa"/>
          </w:tblCellMar>
        </w:tblPrEx>
        <w:trPr>
          <w:trHeight w:val="567" w:hRule="exact"/>
          <w:jc w:val="center"/>
        </w:trPr>
        <w:tc>
          <w:tcPr>
            <w:tcW w:w="4201" w:type="dxa"/>
            <w:noWrap w:val="0"/>
            <w:vAlign w:val="center"/>
          </w:tcPr>
          <w:p w14:paraId="1BF2D78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4693EE1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0A1F7C6F"/>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2458287-AD03-4D17-B62E-7B407B51235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1D90A34E-FF0A-404A-BD03-834F8B990CA4}"/>
  </w:font>
  <w:font w:name="仿宋_GB2312">
    <w:panose1 w:val="02010609030101010101"/>
    <w:charset w:val="86"/>
    <w:family w:val="modern"/>
    <w:pitch w:val="default"/>
    <w:sig w:usb0="00000001" w:usb1="080E0000" w:usb2="00000000" w:usb3="00000000" w:csb0="00040000" w:csb1="00000000"/>
    <w:embedRegular r:id="rId3" w:fontKey="{35E1F48C-93E6-4045-A1F4-101A1884FE3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8CC022A"/>
    <w:rsid w:val="0B186D4E"/>
    <w:rsid w:val="0CF24C32"/>
    <w:rsid w:val="0DA008CC"/>
    <w:rsid w:val="0EBB3568"/>
    <w:rsid w:val="0EC60B07"/>
    <w:rsid w:val="10332904"/>
    <w:rsid w:val="10CF4970"/>
    <w:rsid w:val="10F63A27"/>
    <w:rsid w:val="140B3847"/>
    <w:rsid w:val="14561BE7"/>
    <w:rsid w:val="172B4FA4"/>
    <w:rsid w:val="192A37C4"/>
    <w:rsid w:val="198577DD"/>
    <w:rsid w:val="19966094"/>
    <w:rsid w:val="1CA80820"/>
    <w:rsid w:val="1D6E70FD"/>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28C1FD1"/>
    <w:rsid w:val="54F63A8A"/>
    <w:rsid w:val="57DF2953"/>
    <w:rsid w:val="5C7E1FD1"/>
    <w:rsid w:val="5D3B49BA"/>
    <w:rsid w:val="60E414E6"/>
    <w:rsid w:val="61E5759F"/>
    <w:rsid w:val="628C4053"/>
    <w:rsid w:val="64A137DB"/>
    <w:rsid w:val="696F3399"/>
    <w:rsid w:val="6D565F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99"/>
    <w:pPr>
      <w:jc w:val="left"/>
    </w:pPr>
    <w:rPr>
      <w:kern w:val="0"/>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2"/>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2459</Words>
  <Characters>2506</Characters>
  <Lines>12</Lines>
  <Paragraphs>3</Paragraphs>
  <TotalTime>0</TotalTime>
  <ScaleCrop>false</ScaleCrop>
  <LinksUpToDate>false</LinksUpToDate>
  <CharactersWithSpaces>2607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2026-04-03T03:16:11Z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