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版本号：HRC-ZBDL-2026-0038320260403001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明德校区明德楼3-4层教室及公共区域改造项目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HRC-ZBDL-2026-00383</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华睿诚项目管理有限公司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华睿诚项目管理有限公司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明德校区明德楼3-4层教室及公共区域改造项目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HRC-ZBDL-2026-00383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明德校区明德楼3-4层教室及公共区域改造项目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明德校区明德楼3-4层教室及公共区域改造项目，详见竞争性磋商文件。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采购包1（明德校区明德楼3-4层教室及公共区域改造项目）：属于专门面向中小企业采购。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1、营业执照等主体资格证明文件：供应商具有独立承担民事责任能力的法人、其他组织或自然人，并出具合法有效的营业执照或事业单位法人证书等国家规定的相关证明。 供应商需在项目电子化交易系统中按要求上传相应证明文件并进行电子签章。</w:t>
      </w:r>
    </w:p>
    <w:p>
      <w:pPr>
        <w:pStyle w:val="null3"/>
      </w:pPr>
      <w:r>
        <w:rPr>
          <w:rFonts w:ascii="仿宋_GB2312" w:hAnsi="仿宋_GB2312" w:cs="仿宋_GB2312" w:eastAsia="仿宋_GB2312"/>
        </w:rPr>
        <w:t>2、法定代表人（负责人）委托授权书/身份证明：提供法定代表人（单位负责人）授权委托书及被授权人近半年内任意一个月的社保缴纳证明；法定代表人（单位负责人）直接参加的，须提供法定代表人（单位负责人）身份证明书及身份证复印件且与营业执照上信息须一致；非法人单位参照执行。 供应商需在项目电子化交易系统中按要求上传相应证明文件并进行电子签章。</w:t>
      </w:r>
    </w:p>
    <w:p>
      <w:pPr>
        <w:pStyle w:val="null3"/>
      </w:pPr>
      <w:r>
        <w:rPr>
          <w:rFonts w:ascii="仿宋_GB2312" w:hAnsi="仿宋_GB2312" w:cs="仿宋_GB2312" w:eastAsia="仿宋_GB2312"/>
        </w:rPr>
        <w:t>3、供应商资质要求：供应商具备建设行政主管部门颁发的建筑工程施工总承包三级及以上（含三级）或建筑装饰装修工程资质证书三级及以上（含三级），同时具有合格有效的安全生产许可证。 供应商需在项目电子化交易系统中按要求上传相应证明文件并进行电子签章。</w:t>
      </w:r>
    </w:p>
    <w:p>
      <w:pPr>
        <w:pStyle w:val="null3"/>
      </w:pPr>
      <w:r>
        <w:rPr>
          <w:rFonts w:ascii="仿宋_GB2312" w:hAnsi="仿宋_GB2312" w:cs="仿宋_GB2312" w:eastAsia="仿宋_GB2312"/>
        </w:rPr>
        <w:t>4、拟派项目经理：拟委派的项目经理应具备建筑工程专业二级以上（含二级）注册建造师资格，有效的安全生产考核合格证书（建安B证），在本单位注册，且未担任其他在建工程项目经理（提供承诺）。 供应商需在项目电子化交易系统中按要求上传相应证明文件并进行电子签章。</w:t>
      </w:r>
    </w:p>
    <w:p>
      <w:pPr>
        <w:pStyle w:val="null3"/>
      </w:pPr>
      <w:r>
        <w:rPr>
          <w:rFonts w:ascii="仿宋_GB2312" w:hAnsi="仿宋_GB2312" w:cs="仿宋_GB2312" w:eastAsia="仿宋_GB2312"/>
        </w:rPr>
        <w:t>5、信息查询：供应商及拟派项目经理在“陕西省住房和城乡建设厅（https://js.shaanxi.gov.cn/）”可查询。 供应商需在项目电子化交易系统中按要求上传相应证明文件并进行电子签章。</w:t>
      </w:r>
    </w:p>
    <w:p>
      <w:pPr>
        <w:pStyle w:val="null3"/>
      </w:pPr>
      <w:r>
        <w:rPr>
          <w:rFonts w:ascii="仿宋_GB2312" w:hAnsi="仿宋_GB2312" w:cs="仿宋_GB2312" w:eastAsia="仿宋_GB2312"/>
        </w:rPr>
        <w:t>6、财务状况报告：供应商提供2024年度或者2025年度经审计完整的财务会计报告(成立时间至提交响应文件截止时间不足一年的可提供成立后任意时段的资产负债表)，或其开标前三个月内基本存款账户开户银行出具的资信证明。(以上三种形式的资料提供任何一种即可) 供应商需在项目电子化交易系统中按要求上传相应证明文件并进行电子签章。</w:t>
      </w:r>
    </w:p>
    <w:p>
      <w:pPr>
        <w:pStyle w:val="null3"/>
      </w:pPr>
      <w:r>
        <w:rPr>
          <w:rFonts w:ascii="仿宋_GB2312" w:hAnsi="仿宋_GB2312" w:cs="仿宋_GB2312" w:eastAsia="仿宋_GB2312"/>
        </w:rPr>
        <w:t>7、税收缴纳证明：提供2026年1月至今已缴纳的至少一个月的纳税证明或完税证明，依法免税的单位应提供相关证明材料。 供应商需在项目电子化交易系统中按要求上传相应证明文件并进行电子签章。</w:t>
      </w:r>
    </w:p>
    <w:p>
      <w:pPr>
        <w:pStyle w:val="null3"/>
      </w:pPr>
      <w:r>
        <w:rPr>
          <w:rFonts w:ascii="仿宋_GB2312" w:hAnsi="仿宋_GB2312" w:cs="仿宋_GB2312" w:eastAsia="仿宋_GB2312"/>
        </w:rPr>
        <w:t>8、社会保障资金缴纳证明：提供2026年1月至今已缴存的至少一个月的社会保障资金缴存单据或社保机构开具的社会保险参保缴费情况证明，依法不需要缴纳社会保障资金的单位应提供相关证明材料。 供应商需在项目电子化交易系统中按要求上传相应证明文件并进行电子签章。</w:t>
      </w:r>
    </w:p>
    <w:p>
      <w:pPr>
        <w:pStyle w:val="null3"/>
      </w:pPr>
      <w:r>
        <w:rPr>
          <w:rFonts w:ascii="仿宋_GB2312" w:hAnsi="仿宋_GB2312" w:cs="仿宋_GB2312" w:eastAsia="仿宋_GB2312"/>
        </w:rPr>
        <w:t>9、书面声明：参加本次政府采购活动前三年内在经营活动中没有重大违纪，以及未被列入失信被执行人、重大税收违法案件当事人名单、政府采购严重违法失信行为记录名单的书面声明； 供应商需在项目电子化交易系统中按要求上传相应证明文件并进行电子签章。</w:t>
      </w:r>
    </w:p>
    <w:p>
      <w:pPr>
        <w:pStyle w:val="null3"/>
      </w:pPr>
      <w:r>
        <w:rPr>
          <w:rFonts w:ascii="仿宋_GB2312" w:hAnsi="仿宋_GB2312" w:cs="仿宋_GB2312" w:eastAsia="仿宋_GB2312"/>
        </w:rPr>
        <w:t>10、信用查询：经核查，供应商未被列入“信用中国”网站记录的“失信被执行人”或“重大税收违法案件当事人”名单；不处于“中国政府采购网”记录的“政府采购严重违法失信行为记录名单”中的禁止参加政府采购活动期间。</w:t>
      </w:r>
    </w:p>
    <w:p>
      <w:pPr>
        <w:pStyle w:val="null3"/>
      </w:pPr>
      <w:r>
        <w:rPr>
          <w:rFonts w:ascii="仿宋_GB2312" w:hAnsi="仿宋_GB2312" w:cs="仿宋_GB2312" w:eastAsia="仿宋_GB2312"/>
        </w:rPr>
        <w:t>11、具有履行合同所必需的专业技术能力的承诺函：具有履行合同所必需的专业技术能力的承诺函。 供应商需在项目电子化交易系统中按要求填写《响应函》完成承诺并进行电子签章。</w:t>
      </w:r>
    </w:p>
    <w:p>
      <w:pPr>
        <w:pStyle w:val="null3"/>
      </w:pPr>
      <w:r>
        <w:rPr>
          <w:rFonts w:ascii="仿宋_GB2312" w:hAnsi="仿宋_GB2312" w:cs="仿宋_GB2312" w:eastAsia="仿宋_GB2312"/>
        </w:rPr>
        <w:t>12、非控股、管理关系：单位负责人为同一人或者存在直接控股、管理关系的不同供应商，不得同时参加本项目磋商（提供声明函）。 供应商需在项目电子化交易系统中按要求填写《响应函》完成承诺并进行电子签章。</w:t>
      </w:r>
    </w:p>
    <w:p>
      <w:pPr>
        <w:pStyle w:val="null3"/>
      </w:pPr>
      <w:r>
        <w:rPr>
          <w:rFonts w:ascii="仿宋_GB2312" w:hAnsi="仿宋_GB2312" w:cs="仿宋_GB2312" w:eastAsia="仿宋_GB2312"/>
        </w:rPr>
        <w:t>13、中小企业声明函：本项目为专门面向中小企业项目，供应商提供《中小企业声明函》。承揽工程的供应商应为中型企业或小型、微型企业或监狱企业或残疾人福利性单位（监狱企业以及残疾人福利性单位视同小型、微型企业）。</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029-88382832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华睿诚项目管理有限公司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陕西省西安市雁塔区曲江新区雁翔路3269号旺座曲江E座29层2901号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何幸</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15209203045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普通壁挂式小便器、冲水马桶、枪式摄像机</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600*600mm 吸顶式 LED 集成灯</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开户名称：华睿诚项目管理有限公司</w:t>
            </w:r>
          </w:p>
          <w:p>
            <w:pPr>
              <w:pStyle w:val="null3"/>
            </w:pPr>
            <w:r>
              <w:rPr>
                <w:rFonts w:ascii="仿宋_GB2312" w:hAnsi="仿宋_GB2312" w:cs="仿宋_GB2312" w:eastAsia="仿宋_GB2312"/>
              </w:rPr>
              <w:t>开户银行：平安银行西安分行营业部/平安银行西安分行（行号：307791041016）</w:t>
            </w:r>
          </w:p>
          <w:p>
            <w:pPr>
              <w:pStyle w:val="null3"/>
            </w:pPr>
            <w:r>
              <w:rPr>
                <w:rFonts w:ascii="仿宋_GB2312" w:hAnsi="仿宋_GB2312" w:cs="仿宋_GB2312" w:eastAsia="仿宋_GB2312"/>
              </w:rPr>
              <w:t>银行账号：30205868006985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为保证合同的正常履行，确保工程能按期保质完成，避免施工安全事故，达到环保要求，承包方向发包方交纳合同签订金额的5%作为履约及安全保证金，履约保证金在工程正常验收合格后，两周内无息退还给承包人。</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代理服务费收费标准：以成交金额为基数，参照国家计委颁布的《招标代理服务收费管理暂行办法》(计价格[2002]1980号)号文件收费标准下浮10%收取。预算30万元(含)以下项目，按标准收取。 成交供应商在领取成交通知书前，须向采购代理机构支付代理服务费。 缴纳方式：银行转账。户名：华睿诚项目管理有限公司 开户银行：西安银行小寨东路支行 账 号：816011580000101224</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踏勘时间：2026-04-14 09:00:00</w:t>
            </w:r>
          </w:p>
          <w:p>
            <w:pPr>
              <w:pStyle w:val="null3"/>
              <w:ind w:firstLine="975"/>
            </w:pPr>
            <w:r>
              <w:rPr>
                <w:rFonts w:ascii="仿宋_GB2312" w:hAnsi="仿宋_GB2312" w:cs="仿宋_GB2312" w:eastAsia="仿宋_GB2312"/>
              </w:rPr>
              <w:t>踏勘地点：西安石油大学明德校区</w:t>
            </w:r>
          </w:p>
          <w:p>
            <w:pPr>
              <w:pStyle w:val="null3"/>
              <w:ind w:firstLine="975"/>
            </w:pPr>
            <w:r>
              <w:rPr>
                <w:rFonts w:ascii="仿宋_GB2312" w:hAnsi="仿宋_GB2312" w:cs="仿宋_GB2312" w:eastAsia="仿宋_GB2312"/>
              </w:rPr>
              <w:t>联系人：何幸</w:t>
            </w:r>
          </w:p>
          <w:p>
            <w:pPr>
              <w:pStyle w:val="null3"/>
              <w:ind w:firstLine="975"/>
            </w:pPr>
            <w:r>
              <w:rPr>
                <w:rFonts w:ascii="仿宋_GB2312" w:hAnsi="仿宋_GB2312" w:cs="仿宋_GB2312" w:eastAsia="仿宋_GB2312"/>
              </w:rPr>
              <w:t>联系电话号码：15209203045</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华睿诚项目管理有限公司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西安石油大学</w:t>
      </w:r>
      <w:r>
        <w:rPr>
          <w:rFonts w:ascii="仿宋_GB2312" w:hAnsi="仿宋_GB2312" w:cs="仿宋_GB2312" w:eastAsia="仿宋_GB2312"/>
        </w:rPr>
        <w:t>负责解释。除上述磋商文件内容，其他内容由</w:t>
      </w:r>
      <w:r>
        <w:rPr>
          <w:rFonts w:ascii="仿宋_GB2312" w:hAnsi="仿宋_GB2312" w:cs="仿宋_GB2312" w:eastAsia="仿宋_GB2312"/>
        </w:rPr>
        <w:t>华睿诚项目管理有限公司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华睿诚项目管理有限公司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依据合同文本、合同附件、磋商文件、响应文件、国内相应的标准、规范验收。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联系人：何幸</w:t>
      </w:r>
    </w:p>
    <w:p>
      <w:pPr>
        <w:pStyle w:val="null3"/>
      </w:pPr>
      <w:r>
        <w:rPr>
          <w:rFonts w:ascii="仿宋_GB2312" w:hAnsi="仿宋_GB2312" w:cs="仿宋_GB2312" w:eastAsia="仿宋_GB2312"/>
        </w:rPr>
        <w:t>联系电话：15209203045</w:t>
      </w:r>
    </w:p>
    <w:p>
      <w:pPr>
        <w:pStyle w:val="null3"/>
      </w:pPr>
      <w:r>
        <w:rPr>
          <w:rFonts w:ascii="仿宋_GB2312" w:hAnsi="仿宋_GB2312" w:cs="仿宋_GB2312" w:eastAsia="仿宋_GB2312"/>
        </w:rPr>
        <w:t>地址：陕西省西安市雁塔区曲江新区雁翔路3269号旺座曲江E座29层2901号</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2,200,000.00</w:t>
      </w:r>
    </w:p>
    <w:p>
      <w:pPr>
        <w:pStyle w:val="null3"/>
      </w:pPr>
      <w:r>
        <w:rPr>
          <w:rFonts w:ascii="仿宋_GB2312" w:hAnsi="仿宋_GB2312" w:cs="仿宋_GB2312" w:eastAsia="仿宋_GB2312"/>
        </w:rPr>
        <w:t>采购包最高限价（元）: 2,199,175.10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明德校区明德楼3-4层教室及公共区域改造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2,200,000.00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标的名称：明德校区明德楼3-4层教室及公共区域改造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jc w:val="both"/>
            </w:pPr>
            <w:r>
              <w:rPr>
                <w:rFonts w:ascii="仿宋_GB2312" w:hAnsi="仿宋_GB2312" w:cs="仿宋_GB2312" w:eastAsia="仿宋_GB2312"/>
                <w:sz w:val="21"/>
              </w:rPr>
              <w:t>项目概况</w:t>
            </w:r>
          </w:p>
          <w:p>
            <w:pPr>
              <w:pStyle w:val="null3"/>
              <w:ind w:firstLine="400"/>
              <w:jc w:val="both"/>
            </w:pPr>
            <w:r>
              <w:rPr>
                <w:rFonts w:ascii="仿宋_GB2312" w:hAnsi="仿宋_GB2312" w:cs="仿宋_GB2312" w:eastAsia="仿宋_GB2312"/>
                <w:sz w:val="21"/>
              </w:rPr>
              <w:t>西安石油大学明德校区明德楼</w:t>
            </w:r>
            <w:r>
              <w:rPr>
                <w:rFonts w:ascii="仿宋_GB2312" w:hAnsi="仿宋_GB2312" w:cs="仿宋_GB2312" w:eastAsia="仿宋_GB2312"/>
                <w:sz w:val="21"/>
              </w:rPr>
              <w:t>3-4层教室及公共区域改造项目建设内容为西安石油大学明德校区明德楼3层、4层教室及公共区域装饰装修改造、水电改造等。具体内容详见本工程施工图纸及工程量清单。</w:t>
            </w:r>
          </w:p>
          <w:p>
            <w:pPr>
              <w:pStyle w:val="null3"/>
            </w:pPr>
            <w:r>
              <w:rPr>
                <w:rFonts w:ascii="仿宋_GB2312" w:hAnsi="仿宋_GB2312" w:cs="仿宋_GB2312" w:eastAsia="仿宋_GB2312"/>
                <w:sz w:val="21"/>
              </w:rPr>
              <w:t>工程地点：西安石油大学明德校区</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工期：60</w:t>
            </w:r>
            <w:r>
              <w:rPr>
                <w:rFonts w:ascii="仿宋_GB2312" w:hAnsi="仿宋_GB2312" w:cs="仿宋_GB2312" w:eastAsia="仿宋_GB2312"/>
                <w:sz w:val="21"/>
              </w:rPr>
              <w:t>日历天</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施工要求</w:t>
            </w:r>
            <w:r>
              <w:br/>
            </w:r>
            <w:r>
              <w:rPr>
                <w:rFonts w:ascii="仿宋_GB2312" w:hAnsi="仿宋_GB2312" w:cs="仿宋_GB2312" w:eastAsia="仿宋_GB2312"/>
                <w:sz w:val="21"/>
              </w:rPr>
              <w:t xml:space="preserve">     </w:t>
            </w:r>
            <w:r>
              <w:rPr>
                <w:rFonts w:ascii="仿宋_GB2312" w:hAnsi="仿宋_GB2312" w:cs="仿宋_GB2312" w:eastAsia="仿宋_GB2312"/>
                <w:sz w:val="21"/>
              </w:rPr>
              <w:t>（一）施工过程</w:t>
            </w:r>
          </w:p>
          <w:p>
            <w:pPr>
              <w:pStyle w:val="null3"/>
              <w:ind w:firstLine="400"/>
              <w:jc w:val="both"/>
            </w:pPr>
            <w:r>
              <w:rPr>
                <w:rFonts w:ascii="仿宋_GB2312" w:hAnsi="仿宋_GB2312" w:cs="仿宋_GB2312" w:eastAsia="仿宋_GB2312"/>
                <w:sz w:val="21"/>
              </w:rPr>
              <w:t>1、施工人员必须熟悉施工相关技术规范和施工工艺要求。技术负责人要对施工人员进行详细的技术交底，确保每个环节都清晰明了。</w:t>
            </w:r>
          </w:p>
          <w:p>
            <w:pPr>
              <w:pStyle w:val="null3"/>
              <w:ind w:firstLine="400"/>
              <w:jc w:val="both"/>
            </w:pPr>
            <w:r>
              <w:rPr>
                <w:rFonts w:ascii="仿宋_GB2312" w:hAnsi="仿宋_GB2312" w:cs="仿宋_GB2312" w:eastAsia="仿宋_GB2312"/>
                <w:sz w:val="21"/>
              </w:rPr>
              <w:t>2、安全与防护：施工人员要配备必要的安全防护装备，如安全帽、安全鞋、安全带等。施工现场要设置明显的安全警示标志，对危险区域进行防护。对于高空作业、动火作业等特殊作业，要严格执行相关安全规定。</w:t>
            </w:r>
          </w:p>
          <w:p>
            <w:pPr>
              <w:pStyle w:val="null3"/>
              <w:ind w:firstLine="400"/>
              <w:jc w:val="both"/>
            </w:pPr>
            <w:r>
              <w:rPr>
                <w:rFonts w:ascii="仿宋_GB2312" w:hAnsi="仿宋_GB2312" w:cs="仿宋_GB2312" w:eastAsia="仿宋_GB2312"/>
                <w:sz w:val="21"/>
              </w:rPr>
              <w:t>3、施工顺序：按照合理的施工顺序进行操作，遵循“先地下、后地上，先主体、后附属”等基本原则。相邻工序之间要做好交接，确保施工质量的连续性。</w:t>
            </w:r>
          </w:p>
          <w:p>
            <w:pPr>
              <w:pStyle w:val="null3"/>
              <w:ind w:firstLine="400"/>
              <w:jc w:val="both"/>
            </w:pPr>
            <w:r>
              <w:rPr>
                <w:rFonts w:ascii="仿宋_GB2312" w:hAnsi="仿宋_GB2312" w:cs="仿宋_GB2312" w:eastAsia="仿宋_GB2312"/>
                <w:sz w:val="21"/>
              </w:rPr>
              <w:t>4、质量控制：严格控制施工质量，每一道工序完成后都要进行质量检查。如隐蔽工程在隐蔽前，必须经过验收合格。施工过程中要严格按照设计图纸和规范要求进行操作，如尺寸、位置、高程等参数要符合规定，偏差控制在允许范围内。</w:t>
            </w:r>
          </w:p>
          <w:p>
            <w:pPr>
              <w:pStyle w:val="null3"/>
              <w:ind w:firstLine="400"/>
              <w:jc w:val="both"/>
            </w:pPr>
            <w:r>
              <w:rPr>
                <w:rFonts w:ascii="仿宋_GB2312" w:hAnsi="仿宋_GB2312" w:cs="仿宋_GB2312" w:eastAsia="仿宋_GB2312"/>
                <w:sz w:val="21"/>
              </w:rPr>
              <w:t>5、施工记录：做好详细的施工记录，包括材料使用情况、设备运行记录、施工进度、质量检查结果等。这些记录对于后续的质量追溯、结算等工作非常重要。</w:t>
            </w:r>
          </w:p>
          <w:p>
            <w:pPr>
              <w:pStyle w:val="null3"/>
              <w:ind w:firstLine="400"/>
              <w:jc w:val="both"/>
            </w:pPr>
            <w:r>
              <w:rPr>
                <w:rFonts w:ascii="仿宋_GB2312" w:hAnsi="仿宋_GB2312" w:cs="仿宋_GB2312" w:eastAsia="仿宋_GB2312"/>
                <w:sz w:val="21"/>
              </w:rPr>
              <w:t>（二）施工后验收</w:t>
            </w:r>
          </w:p>
          <w:p>
            <w:pPr>
              <w:pStyle w:val="null3"/>
              <w:ind w:firstLine="400"/>
              <w:jc w:val="both"/>
            </w:pPr>
            <w:r>
              <w:rPr>
                <w:rFonts w:ascii="仿宋_GB2312" w:hAnsi="仿宋_GB2312" w:cs="仿宋_GB2312" w:eastAsia="仿宋_GB2312"/>
                <w:sz w:val="21"/>
              </w:rPr>
              <w:t>1、成品保护：施工完成后，要对成品进行保护，防止受到损坏。如设置防护栏、包裹保护膜等措施，保护的期限应持续到工程验收合格。</w:t>
            </w:r>
          </w:p>
          <w:p>
            <w:pPr>
              <w:pStyle w:val="null3"/>
              <w:ind w:firstLine="400"/>
              <w:jc w:val="both"/>
            </w:pPr>
            <w:r>
              <w:rPr>
                <w:rFonts w:ascii="仿宋_GB2312" w:hAnsi="仿宋_GB2312" w:cs="仿宋_GB2312" w:eastAsia="仿宋_GB2312"/>
                <w:sz w:val="21"/>
              </w:rPr>
              <w:t>2、质量验收：按照相关标准和合同要求进行全面的质量验收。验收内容包括外观质量、内在质量（如结构安全、性能指标等）。验收合格后，整理验收资料，办理竣工验收手续。</w:t>
            </w:r>
          </w:p>
          <w:p>
            <w:pPr>
              <w:pStyle w:val="null3"/>
              <w:ind w:firstLine="400"/>
              <w:jc w:val="both"/>
            </w:pPr>
            <w:r>
              <w:rPr>
                <w:rFonts w:ascii="仿宋_GB2312" w:hAnsi="仿宋_GB2312" w:cs="仿宋_GB2312" w:eastAsia="仿宋_GB2312"/>
                <w:sz w:val="21"/>
              </w:rPr>
              <w:t>（三）安全文明施工</w:t>
            </w:r>
          </w:p>
          <w:p>
            <w:pPr>
              <w:pStyle w:val="null3"/>
              <w:ind w:firstLine="400"/>
              <w:jc w:val="both"/>
            </w:pPr>
            <w:r>
              <w:rPr>
                <w:rFonts w:ascii="仿宋_GB2312" w:hAnsi="仿宋_GB2312" w:cs="仿宋_GB2312" w:eastAsia="仿宋_GB2312"/>
                <w:sz w:val="21"/>
              </w:rPr>
              <w:t>1、乙方应遵守工程建设安全生产有关规定，严格按照安全标准组织施工，并随时接受行业安全检查人员依法实施的监督检查，采取必要的安全防护措施，消除安全隐患，安全措施费由乙方承担。施工现场安全事故的责任和由此发生的费用均由乙方承担。</w:t>
            </w:r>
          </w:p>
          <w:p>
            <w:pPr>
              <w:pStyle w:val="null3"/>
              <w:ind w:firstLine="400"/>
              <w:jc w:val="both"/>
            </w:pPr>
            <w:r>
              <w:rPr>
                <w:rFonts w:ascii="仿宋_GB2312" w:hAnsi="仿宋_GB2312" w:cs="仿宋_GB2312" w:eastAsia="仿宋_GB2312"/>
                <w:sz w:val="21"/>
              </w:rPr>
              <w:t>2、符合《安全生产管理条例》的标准、道路、场地、绿化工程现行规范、西安市建筑工地环卫部门等要求；施工场地内无施工遗留物，垃圾清运干净。</w:t>
            </w:r>
          </w:p>
          <w:p>
            <w:pPr>
              <w:pStyle w:val="null3"/>
            </w:pPr>
            <w:r>
              <w:rPr>
                <w:rFonts w:ascii="仿宋_GB2312" w:hAnsi="仿宋_GB2312" w:cs="仿宋_GB2312" w:eastAsia="仿宋_GB2312"/>
                <w:sz w:val="21"/>
              </w:rPr>
              <w:t>3、乙方应遵守政府有关部门对施工场地交通、噪音以及环境保护和文明施工等地管理规定，按有关规定办理有关手续，上述费用由乙方承担。</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工程量清单及图纸</w:t>
            </w:r>
            <w:r>
              <w:br/>
            </w:r>
            <w:r>
              <w:rPr>
                <w:rFonts w:ascii="仿宋_GB2312" w:hAnsi="仿宋_GB2312" w:cs="仿宋_GB2312" w:eastAsia="仿宋_GB2312"/>
              </w:rPr>
              <w:t>详见附件。</w:t>
            </w:r>
            <w:r>
              <w:rPr>
                <w:rFonts w:ascii="仿宋_GB2312" w:hAnsi="仿宋_GB2312" w:cs="仿宋_GB2312" w:eastAsia="仿宋_GB2312"/>
                <w:sz w:val="21"/>
              </w:rPr>
              <w:t>若招标工程量清单与技术参数或图纸不一致的，以招标工程量清单为准。</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rPr>
              <w:t>合同价款的支付</w:t>
            </w:r>
            <w:r>
              <w:br/>
            </w:r>
            <w:r>
              <w:rPr>
                <w:rFonts w:ascii="仿宋_GB2312" w:hAnsi="仿宋_GB2312" w:cs="仿宋_GB2312" w:eastAsia="仿宋_GB2312"/>
                <w:sz w:val="21"/>
              </w:rPr>
              <w:t>签订合同后施工开始，此工程无预付款，工程施工完毕，经甲方验收合格后，</w:t>
            </w:r>
            <w:r>
              <w:rPr>
                <w:rFonts w:ascii="仿宋_GB2312" w:hAnsi="仿宋_GB2312" w:cs="仿宋_GB2312" w:eastAsia="仿宋_GB2312"/>
                <w:sz w:val="21"/>
              </w:rPr>
              <w:t>10日内支付合同总价款的80%，经工程审计结算审核后10日内，支付剩余工程款项（扣除结算总金额1%的水电费）。（需开增值税专用发票）</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1"/>
              </w:rPr>
              <w:t>结算</w:t>
            </w:r>
            <w:r>
              <w:br/>
            </w:r>
            <w:r>
              <w:rPr>
                <w:rFonts w:ascii="仿宋_GB2312" w:hAnsi="仿宋_GB2312" w:cs="仿宋_GB2312" w:eastAsia="仿宋_GB2312"/>
                <w:sz w:val="21"/>
              </w:rPr>
              <w:t>1、合同价款在合同中约定后，任何一方不得擅自改变。工程竣工后如无增减项，以合同所定工程总造价经审计后结算。</w:t>
            </w:r>
          </w:p>
          <w:p>
            <w:pPr>
              <w:pStyle w:val="null3"/>
              <w:jc w:val="both"/>
            </w:pPr>
            <w:r>
              <w:rPr>
                <w:rFonts w:ascii="仿宋_GB2312" w:hAnsi="仿宋_GB2312" w:cs="仿宋_GB2312" w:eastAsia="仿宋_GB2312"/>
                <w:sz w:val="21"/>
              </w:rPr>
              <w:t>2、变更合同价款其对应的综合单价按下列方法进行调整：</w:t>
            </w:r>
          </w:p>
          <w:p>
            <w:pPr>
              <w:pStyle w:val="null3"/>
              <w:ind w:firstLine="400"/>
              <w:jc w:val="both"/>
            </w:pPr>
            <w:r>
              <w:rPr>
                <w:rFonts w:ascii="仿宋_GB2312" w:hAnsi="仿宋_GB2312" w:cs="仿宋_GB2312" w:eastAsia="仿宋_GB2312"/>
                <w:sz w:val="21"/>
              </w:rPr>
              <w:t>（</w:t>
            </w:r>
            <w:r>
              <w:rPr>
                <w:rFonts w:ascii="仿宋_GB2312" w:hAnsi="仿宋_GB2312" w:cs="仿宋_GB2312" w:eastAsia="仿宋_GB2312"/>
                <w:sz w:val="21"/>
              </w:rPr>
              <w:t>1）合同中已有适用于变更工程的价格，按相应项目合同已确认的综合单价办理结算；</w:t>
            </w:r>
          </w:p>
          <w:p>
            <w:pPr>
              <w:pStyle w:val="null3"/>
              <w:ind w:firstLine="400"/>
              <w:jc w:val="both"/>
            </w:pPr>
            <w:r>
              <w:rPr>
                <w:rFonts w:ascii="仿宋_GB2312" w:hAnsi="仿宋_GB2312" w:cs="仿宋_GB2312" w:eastAsia="仿宋_GB2312"/>
                <w:sz w:val="21"/>
              </w:rPr>
              <w:t>（</w:t>
            </w:r>
            <w:r>
              <w:rPr>
                <w:rFonts w:ascii="仿宋_GB2312" w:hAnsi="仿宋_GB2312" w:cs="仿宋_GB2312" w:eastAsia="仿宋_GB2312"/>
                <w:sz w:val="21"/>
              </w:rPr>
              <w:t>2）合同中只有类似于变更工程的价格，只调整相应的主材费，主材单价按磋商响应文件主材价格计算，若磋商响应文件中无相同主材单价时，由发承包双方共同认质认价，差价只计取规费和税金，在类似工程价格的基础上组成新的单价，按新的单价办理结算；</w:t>
            </w:r>
          </w:p>
          <w:p>
            <w:pPr>
              <w:pStyle w:val="null3"/>
              <w:ind w:firstLine="400"/>
              <w:jc w:val="both"/>
            </w:pPr>
            <w:r>
              <w:rPr>
                <w:rFonts w:ascii="仿宋_GB2312" w:hAnsi="仿宋_GB2312" w:cs="仿宋_GB2312" w:eastAsia="仿宋_GB2312"/>
                <w:sz w:val="21"/>
              </w:rPr>
              <w:t>（</w:t>
            </w:r>
            <w:r>
              <w:rPr>
                <w:rFonts w:ascii="仿宋_GB2312" w:hAnsi="仿宋_GB2312" w:cs="仿宋_GB2312" w:eastAsia="仿宋_GB2312"/>
                <w:sz w:val="21"/>
              </w:rPr>
              <w:t>3）合同中没有适用或类似于工程变更的价格，由甲方实施部门、甲方审核人员、乙方共同认质认价。</w:t>
            </w:r>
          </w:p>
          <w:p>
            <w:pPr>
              <w:pStyle w:val="null3"/>
              <w:ind w:firstLine="400"/>
              <w:jc w:val="both"/>
            </w:pPr>
            <w:r>
              <w:rPr>
                <w:rFonts w:ascii="仿宋_GB2312" w:hAnsi="仿宋_GB2312" w:cs="仿宋_GB2312" w:eastAsia="仿宋_GB2312"/>
                <w:sz w:val="21"/>
              </w:rPr>
              <w:t>3、工程竣工验收、决算完毕后，甲方按合同规定的期限将款项转到乙方账户。</w:t>
            </w:r>
          </w:p>
          <w:p>
            <w:pPr>
              <w:pStyle w:val="null3"/>
              <w:ind w:firstLine="400"/>
              <w:jc w:val="both"/>
            </w:pPr>
            <w:r>
              <w:rPr>
                <w:rFonts w:ascii="仿宋_GB2312" w:hAnsi="仿宋_GB2312" w:cs="仿宋_GB2312" w:eastAsia="仿宋_GB2312"/>
                <w:sz w:val="21"/>
              </w:rPr>
              <w:t>4、乙方违约造成甲方的费用增加和损失，甲方有权从未支付的合同剩余款项中直接扣除。如未支付的合同剩余款项不足以弥补甲方上述费用和损失，乙方应按甲方要求向甲方支付不足部分款项。</w:t>
            </w:r>
          </w:p>
          <w:p>
            <w:pPr>
              <w:pStyle w:val="null3"/>
            </w:pPr>
            <w:r>
              <w:rPr>
                <w:rFonts w:ascii="仿宋_GB2312" w:hAnsi="仿宋_GB2312" w:cs="仿宋_GB2312" w:eastAsia="仿宋_GB2312"/>
                <w:sz w:val="21"/>
              </w:rPr>
              <w:t>承包人提供的竣工结算资料进行审计</w:t>
            </w:r>
            <w:r>
              <w:rPr>
                <w:rFonts w:ascii="仿宋_GB2312" w:hAnsi="仿宋_GB2312" w:cs="仿宋_GB2312" w:eastAsia="仿宋_GB2312"/>
                <w:sz w:val="21"/>
              </w:rPr>
              <w:t>;经发包人委托的中介机构审计，审减率超过5%以上部分的审计成果费由承包人全部承担，成果费由发包人与中介机构合同确定，发包人在支付工程款时代扣。</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1"/>
              </w:rPr>
              <w:t>工程改造内容</w:t>
            </w:r>
            <w:r>
              <w:br/>
            </w:r>
            <w:r>
              <w:rPr>
                <w:rFonts w:ascii="仿宋_GB2312" w:hAnsi="仿宋_GB2312" w:cs="仿宋_GB2312" w:eastAsia="仿宋_GB2312"/>
                <w:sz w:val="21"/>
              </w:rPr>
              <w:t>详见附件1：</w:t>
            </w:r>
            <w:r>
              <w:rPr>
                <w:rFonts w:ascii="仿宋_GB2312" w:hAnsi="仿宋_GB2312" w:cs="仿宋_GB2312" w:eastAsia="仿宋_GB2312"/>
                <w:sz w:val="21"/>
              </w:rPr>
              <w:t>工程改造内容</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质量保修期</w:t>
            </w:r>
            <w:r>
              <w:br/>
            </w:r>
            <w:r>
              <w:rPr>
                <w:rFonts w:ascii="仿宋_GB2312" w:hAnsi="仿宋_GB2312" w:cs="仿宋_GB2312" w:eastAsia="仿宋_GB2312"/>
                <w:sz w:val="21"/>
              </w:rPr>
              <w:t>自竣工验收合格之日起</w:t>
            </w:r>
            <w:r>
              <w:rPr>
                <w:rFonts w:ascii="仿宋_GB2312" w:hAnsi="仿宋_GB2312" w:cs="仿宋_GB2312" w:eastAsia="仿宋_GB2312"/>
                <w:sz w:val="21"/>
              </w:rPr>
              <w:t>2年。</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ind w:firstLine="400"/>
              <w:jc w:val="both"/>
            </w:pPr>
            <w:r>
              <w:rPr>
                <w:rFonts w:ascii="仿宋_GB2312" w:hAnsi="仿宋_GB2312" w:cs="仿宋_GB2312" w:eastAsia="仿宋_GB2312"/>
                <w:sz w:val="21"/>
              </w:rPr>
              <w:t>1、本项目采用综合单价计价，计价软件采用广联达云计价平台GCCP7.0(7.5000.23.2) ；</w:t>
            </w:r>
          </w:p>
          <w:p>
            <w:pPr>
              <w:pStyle w:val="null3"/>
            </w:pPr>
            <w:r>
              <w:rPr>
                <w:rFonts w:ascii="仿宋_GB2312" w:hAnsi="仿宋_GB2312" w:cs="仿宋_GB2312" w:eastAsia="仿宋_GB2312"/>
                <w:sz w:val="21"/>
              </w:rPr>
              <w:t xml:space="preserve">    2、本项目暂列金额62000.00元（含税价为67580.00元）。</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sz w:val="21"/>
              </w:rPr>
              <w:t>技术要求</w:t>
            </w:r>
          </w:p>
          <w:p>
            <w:pPr>
              <w:pStyle w:val="null3"/>
            </w:pPr>
            <w:r>
              <w:rPr>
                <w:rFonts w:ascii="仿宋_GB2312" w:hAnsi="仿宋_GB2312" w:cs="仿宋_GB2312" w:eastAsia="仿宋_GB2312"/>
                <w:sz w:val="21"/>
              </w:rPr>
              <w:t>详见附件2：技术要求</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符合国家、省、市、区相关规范和标准的要求。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1.本项目不得分包、转包。 2.供应商在竞争性磋商响应文件中承诺的项目负责人及相应资质的专业技术、安全管理人员未经采购人书面同意，承包人不得调换和撤离，并按工程进度及时到位。采购人有权要求施工单位撤换工作不负责任、管理不力、贻误工期和造成严重安全事故和违法乱纪的专业技术、安全管理人员。如项目负责人及相应资质的专业技术人员未按要求到位，视作违约，采购人有权按合同约定进行罚款直至单方面终止合同。 3.成交供应商须无条件接受甲方代表的现场检查和管理。 4.成交供应商在施工期间做好安全文明施工管理，必须重视安全，按规范操作；施工过程中佩戴安全帽，并保证自身及周边公民人身财产安全；严禁带电操作；确保车辆、人员、施工安全；若发生事故，由承包方负责并承担全部费用，任何责任与学校无关。 5.施工的建筑垃圾应清运至有关部门指定的地点，做到工完场清，不留死角。</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为顺利推进政府采购电子化交易平台应用工作，中标供应商在领取中标通知书时，需线下提供纸质响应文件叁份、电子版（U盘）壹份（内容与平台上传的签章版电子文件保持一致），纸质响应文件建议A4纸双面黑白打印，各自装订成册，封面加盖红章及骑缝章，书脊处写明项目名称及项目编号。 2、各供应商在平台上传响应文件时，同步上传完整的电子保函原件（PDF 格式，确保清晰可辨）或银行转账截图（转账时间、金额、收款账户等关键信息清晰），提交的电子保函或缴费凭证需真实有效，招标代理机构将对平台上的电子保函或转账截图的缴费凭证进行核验，未按本通知要求提交或提交材料不完整、不清晰导致无法核验的，后果由供应商自行承担。 3、投标报价算术误差及细微偏差的修正，按《建设工程工程量清单计价标准》（GB/T 50500-2024）第3.5.2条规定执行。 《建设工程工程量清单计价标准》（GB/T 50500-2024）3.5.2条款：供应商的响应文件存在算术误差及细微偏差的,可按下列规定修正,但投标总价不得做任何调整,修正报价汇总后的总价应与投标函内填报的投标总价一致: 1 投标函内填报的投标总价大写金额与小写金额不一致的,应以大写金额为准,修正相应小写金额。 2 供应商所报的投标总价与已标价工程量清单项目填报的价格累计总额不一致的,应以投标总价为准,修正工程量清单项目报价累计总额。 3 投标总价中所列的暂列金额、专业工程暂估价、材料暂估价与招标工程量清单内提供的金额不一致的,应作为无效投标处理。 4供应商所报的已标价工程量清单项目的合价与其清单项目数量乘以综合单价计算结果不一致的,应以清单项目综合单价为准,修正合价。但如相应清单项目的合价除以其工程数量得到的综合单价与已标价工程量清单内相同清单项目的综合单价相符,或清单项目的综合单价小数点有明显错误或明显不合理的,应以清单项目合价为准,修正其综合单价。 5供应商所报的单价计价的已标价工程量清单项目综合单价与其综合单价分析表中的综合单价不一致,或总价计价清单项目价格与其构成明细分析表中的清单项目价格不一致的,应以已标价工程量清单的清单项目综合单价和(或)清单项目价格为准,修正其分析表的报价。 6增值税应依据修正后的分部分项工程项目清单、措施项目清单、其他项目清单(专业工程暂估价除外)的算术总价乘以税率修正其报价。 7 按本条第2款~第6款规定完成修正的算术正确投标总价与投标函内的投标总价存在误差的，应按总误差金额占分部分项工程项目清单报价总额(不含材料暂估价项目)的比率分摊到各分部分项工程清单项目的综合单价及其合价上，经分摊调整后的修正综合单价及其合价可作为中标后合同约定进度款计算和工程变更等合同价款调整计价的依据，但分摊后综合单价内所含的材料暂估价仍应按招标工程量清单提供的材料暂估价计算。</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2024年度或者2025年度经审计完整的财务会计报告(成立时间至提交响应文件截止时间不足一年的可提供成立后任意时段的资产负债表)，或其开标前三个月内基本存款账户开户银行出具的资信证明。(以上三种形式的资料提供任何一种即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供应商具有独立承担民事责任能力的法人、其他组织或自然人，并出具合法有效的营业执照或事业单位法人证书等国家规定的相关证明。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法定代表人（负责人）委托授权书/身份证明</w:t>
            </w:r>
          </w:p>
        </w:tc>
        <w:tc>
          <w:tcPr>
            <w:tcW w:type="dxa" w:w="3322"/>
          </w:tcPr>
          <w:p>
            <w:pPr>
              <w:pStyle w:val="null3"/>
            </w:pPr>
            <w:r>
              <w:rPr>
                <w:rFonts w:ascii="仿宋_GB2312" w:hAnsi="仿宋_GB2312" w:cs="仿宋_GB2312" w:eastAsia="仿宋_GB2312"/>
              </w:rPr>
              <w:t>提供法定代表人（单位负责人）授权委托书及被授权人近半年内任意一个月的社保缴纳证明；法定代表人（单位负责人）直接参加的，须提供法定代表人（单位负责人）身份证明书及身份证复印件且与营业执照上信息须一致；非法人单位参照执行。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供应商具备建设行政主管部门颁发的建筑工程施工总承包三级及以上（含三级）或建筑装饰装修工程资质证书三级及以上（含三级），同时具有合格有效的安全生产许可证。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拟委派的项目经理应具备建筑工程专业二级以上（含二级）注册建造师资格，有效的安全生产考核合格证书（建安B证），在本单位注册，且未担任其他在建工程项目经理（提供承诺）。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信息查询</w:t>
            </w:r>
          </w:p>
        </w:tc>
        <w:tc>
          <w:tcPr>
            <w:tcW w:type="dxa" w:w="3322"/>
          </w:tcPr>
          <w:p>
            <w:pPr>
              <w:pStyle w:val="null3"/>
            </w:pPr>
            <w:r>
              <w:rPr>
                <w:rFonts w:ascii="仿宋_GB2312" w:hAnsi="仿宋_GB2312" w:cs="仿宋_GB2312" w:eastAsia="仿宋_GB2312"/>
              </w:rPr>
              <w:t>供应商及拟派项目经理在“陕西省住房和城乡建设厅（https://js.shaanxi.gov.cn/）”可查询。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年度或者2025年度经审计完整的财务会计报告(成立时间至提交响应文件截止时间不足一年的可提供成立后任意时段的资产负债表)，或其开标前三个月内基本存款账户开户银行出具的资信证明。(以上三种形式的资料提供任何一种即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提供2026年1月至今已缴纳的至少一个月的纳税证明或完税证明，依法免税的单位应提供相关证明材料。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提供2026年1月至今已缴存的至少一个月的社会保障资金缴存单据或社保机构开具的社会保险参保缴费情况证明，依法不需要缴纳社会保障资金的单位应提供相关证明材料。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经核查，供应商未被列入“信用中国”网站记录的“失信被执行人”或“重大税收违法案件当事人”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具有履行合同所必需的专业技术能力的承诺函</w:t>
            </w:r>
          </w:p>
        </w:tc>
        <w:tc>
          <w:tcPr>
            <w:tcW w:type="dxa" w:w="3322"/>
          </w:tcPr>
          <w:p>
            <w:pPr>
              <w:pStyle w:val="null3"/>
            </w:pPr>
            <w:r>
              <w:rPr>
                <w:rFonts w:ascii="仿宋_GB2312" w:hAnsi="仿宋_GB2312" w:cs="仿宋_GB2312" w:eastAsia="仿宋_GB2312"/>
              </w:rPr>
              <w:t>具有履行合同所必需的专业技术能力的承诺函。 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非控股、管理关系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单位负责人为同一人或者存在直接控股、管理关系的不同供应商，不得同时参加本项目磋商（提供声明函）。 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本项目为专门面向中小企业项目，供应商提供《中小企业声明函》。承揽工程的供应商应为中型企业或小型、微型企业或监狱企业或残疾人福利性单位（监狱企业以及残疾人福利性单位视同小型、微型企业）。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1、报价唯一； 2、报价货币符合磋商文件要求 ; 3、未超出磋商文件规定的最高限价。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与所投项目名称、项目编号一致，且符合磋商文件签署盖章要求。</w:t>
            </w:r>
          </w:p>
        </w:tc>
        <w:tc>
          <w:tcPr>
            <w:tcW w:type="dxa" w:w="1661"/>
          </w:tcPr>
          <w:p>
            <w:pPr>
              <w:pStyle w:val="null3"/>
            </w:pPr>
            <w:r>
              <w:rPr>
                <w:rFonts w:ascii="仿宋_GB2312" w:hAnsi="仿宋_GB2312" w:cs="仿宋_GB2312" w:eastAsia="仿宋_GB2312"/>
              </w:rPr>
              <w:t>已标价工程量清单 施工机械配备和材料投入计划 中小企业声明函 确保安全生产的技术组织措施 供应商应提交的相关资格证明材料 保证金缴纳凭证 技术服务合同条款及其他商务要求应答表 确保文明施工的技术组织措施及环境保护措施 节能环保 确保工期的技术组织措施 强制优先采购产品承诺函 响应文件封面 项目管理机构组成表 残疾人福利性单位声明函 报价函 标的清单 确保工程质量的技术组织措施 供应商类似项目业绩一览表 施工方案 响应函 主要人员简历表 监狱企业的证明文件 施工进度表或施工网络图</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其他符合性审查</w:t>
            </w:r>
          </w:p>
        </w:tc>
        <w:tc>
          <w:tcPr>
            <w:tcW w:type="dxa" w:w="3322"/>
          </w:tcPr>
          <w:p>
            <w:pPr>
              <w:pStyle w:val="null3"/>
            </w:pPr>
            <w:r>
              <w:rPr>
                <w:rFonts w:ascii="仿宋_GB2312" w:hAnsi="仿宋_GB2312" w:cs="仿宋_GB2312" w:eastAsia="仿宋_GB2312"/>
              </w:rPr>
              <w:t>1、提供的资格证明文件是否符合国家法律法规和磋商文件的要求，并且齐全、真实、有效； 2、响应文件是否按照磋商文件要求的格式编写； 3、响应内容是否有重大缺漏项； 4、供应商报价是否具有唯一性； 5、响应文件是否响应了磋商文件要求的全部条款、条件和规格要求，并且提供了支持文件，没有重大偏离。</w:t>
            </w:r>
          </w:p>
        </w:tc>
        <w:tc>
          <w:tcPr>
            <w:tcW w:type="dxa" w:w="1661"/>
          </w:tcPr>
          <w:p>
            <w:pPr>
              <w:pStyle w:val="null3"/>
            </w:pPr>
            <w:r>
              <w:rPr>
                <w:rFonts w:ascii="仿宋_GB2312" w:hAnsi="仿宋_GB2312" w:cs="仿宋_GB2312" w:eastAsia="仿宋_GB2312"/>
              </w:rPr>
              <w:t>已标价工程量清单 中小企业声明函 施工机械配备和材料投入计划 确保安全生产的技术组织措施 技术服务合同条款及其他商务要求应答表 供应商应提交的相关资格证明材料 保证金缴纳凭证 确保文明施工的技术组织措施及环境保护措施 节能环保 强制优先采购产品承诺函 确保工期的技术组织措施 响应文件封面 项目管理机构组成表 残疾人福利性单位声明函 报价函 标的清单 供应商类似项目业绩一览表 确保工程质量的技术组织措施 施工方案 响应函 主要人员简历表 监狱企业的证明文件 施工进度表或施工网络图</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符合磋商文件对工期的要求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按照磋商文件要求提供保证金缴纳凭证</w:t>
            </w:r>
          </w:p>
        </w:tc>
        <w:tc>
          <w:tcPr>
            <w:tcW w:type="dxa" w:w="1661"/>
          </w:tcPr>
          <w:p>
            <w:pPr>
              <w:pStyle w:val="null3"/>
            </w:pPr>
            <w:r>
              <w:rPr>
                <w:rFonts w:ascii="仿宋_GB2312" w:hAnsi="仿宋_GB2312" w:cs="仿宋_GB2312" w:eastAsia="仿宋_GB2312"/>
              </w:rPr>
              <w:t>保证金缴纳凭证</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施工方案总体思路清晰、合理、可操作性强、可执行程度强，且能很好推动项目实施，得10分；施工方案总体思路基本明确、可行性、合理性较强，得6-9分；方案思路模糊、可行性、合理性一般，得5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确保工程质量的技术组织措施；措施明确、合理，计划完备、可行性强，得8分；措施基本完备、有较强可行性，得4-7分；措施可行性、合理性一般，得3分；未提供不计分。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确保工程质量的技术组织措施</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确保安全生产的技术组织措施；措施明确、合理，计划完备、可行性强，得7分；措施基本完备、有较强可行性，得4-6分；措施可行性、合理性一般，得3分；未提供不计分。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确保安全生产的技术组织措施</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确保文明施工的技术组织措施及环境保护措施；措施明确、合理，计划完备、可行性强，得7分；措施基本完备、有较强可行性，得4-6分；措施可行性、合理性一般，得3分；未提供不计分。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确保文明施工的技术组织措施及环境保护措施</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确、合理，计划完备、可行性强，得7分；措施 基本完备、有较强可行性，得4-6分；措施可行性、合理性一般，得3分；未提供不计分。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确保工期的技术组织措施</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施工机械配备和材料投入计划；内容完整、计划合理得6分；内容基本完整、计划比较合理得3-5分；内容不够完整、计划欠合理得2分；未提供不计分。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施工机械配备和材料投入计划</w:t>
            </w:r>
          </w:p>
        </w:tc>
      </w:tr>
      <w:tr>
        <w:tc>
          <w:tcPr>
            <w:tcW w:type="dxa" w:w="831"/>
            <w:vMerge/>
          </w:tcPr>
          <w:p/>
        </w:tc>
        <w:tc>
          <w:tcPr>
            <w:tcW w:type="dxa" w:w="1661"/>
          </w:tcPr>
          <w:p>
            <w:pPr>
              <w:pStyle w:val="null3"/>
            </w:pPr>
            <w:r>
              <w:rPr>
                <w:rFonts w:ascii="仿宋_GB2312" w:hAnsi="仿宋_GB2312" w:cs="仿宋_GB2312" w:eastAsia="仿宋_GB2312"/>
              </w:rPr>
              <w:t>施工进度表或施工网络图</w:t>
            </w:r>
          </w:p>
        </w:tc>
        <w:tc>
          <w:tcPr>
            <w:tcW w:type="dxa" w:w="2492"/>
          </w:tcPr>
          <w:p>
            <w:pPr>
              <w:pStyle w:val="null3"/>
            </w:pPr>
            <w:r>
              <w:rPr>
                <w:rFonts w:ascii="仿宋_GB2312" w:hAnsi="仿宋_GB2312" w:cs="仿宋_GB2312" w:eastAsia="仿宋_GB2312"/>
              </w:rPr>
              <w:t>施工进度表或施工网络图详细表明本项目全流程实施的时间节点和时间进度安排，详细、合理、可行性强得6分；相对详细、比较合理、有可行性得3-5分；安排不详细但不影响具体项目实施得2分，未提供不计分。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施工进度表或施工网络图</w:t>
            </w:r>
          </w:p>
        </w:tc>
      </w:tr>
      <w:tr>
        <w:tc>
          <w:tcPr>
            <w:tcW w:type="dxa" w:w="831"/>
            <w:vMerge/>
          </w:tcPr>
          <w:p/>
        </w:tc>
        <w:tc>
          <w:tcPr>
            <w:tcW w:type="dxa" w:w="1661"/>
          </w:tcPr>
          <w:p>
            <w:pPr>
              <w:pStyle w:val="null3"/>
            </w:pPr>
            <w:r>
              <w:rPr>
                <w:rFonts w:ascii="仿宋_GB2312" w:hAnsi="仿宋_GB2312" w:cs="仿宋_GB2312" w:eastAsia="仿宋_GB2312"/>
              </w:rPr>
              <w:t>项目部组成人员</w:t>
            </w:r>
          </w:p>
        </w:tc>
        <w:tc>
          <w:tcPr>
            <w:tcW w:type="dxa" w:w="2492"/>
          </w:tcPr>
          <w:p>
            <w:pPr>
              <w:pStyle w:val="null3"/>
            </w:pPr>
            <w:r>
              <w:rPr>
                <w:rFonts w:ascii="仿宋_GB2312" w:hAnsi="仿宋_GB2312" w:cs="仿宋_GB2312" w:eastAsia="仿宋_GB2312"/>
              </w:rPr>
              <w:t>项目部组成人员安排计划：团队人员搭配合理，充分满足项目需求，具有较强的可行性、科学性、合理性得6分；项目组织人员搭配基本满足项目需求，可行性、科学性及合理性一般，得3-5分；项目组织人员搭配不合理，难以满足项目需求，可行性、合理性较差得2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拟派项目经理</w:t>
            </w:r>
          </w:p>
        </w:tc>
        <w:tc>
          <w:tcPr>
            <w:tcW w:type="dxa" w:w="2492"/>
          </w:tcPr>
          <w:p>
            <w:pPr>
              <w:pStyle w:val="null3"/>
            </w:pPr>
            <w:r>
              <w:rPr>
                <w:rFonts w:ascii="仿宋_GB2312" w:hAnsi="仿宋_GB2312" w:cs="仿宋_GB2312" w:eastAsia="仿宋_GB2312"/>
              </w:rPr>
              <w:t>项目经理具有工程类相关专业高级及以上职称得3分，中级职称得1分，其他不得分。 注：提供相关证明资料并加盖公章。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项目管理机构情况</w:t>
            </w:r>
          </w:p>
        </w:tc>
        <w:tc>
          <w:tcPr>
            <w:tcW w:type="dxa" w:w="2492"/>
          </w:tcPr>
          <w:p>
            <w:pPr>
              <w:pStyle w:val="null3"/>
            </w:pPr>
            <w:r>
              <w:rPr>
                <w:rFonts w:ascii="仿宋_GB2312" w:hAnsi="仿宋_GB2312" w:cs="仿宋_GB2312" w:eastAsia="仿宋_GB2312"/>
              </w:rPr>
              <w:t>①项目管理机构中（除项目经理外）每具有一个工程类相关专业高级及以上职称得2分，中级职称得1分，其他不得分。本项最高得2分。②质量员、安全员（具备有效期内的安全生产考核合格证C2或C3证）、资料员、造价员等技术管理人员有相关证书有一项得0.5分（每人证书只计一次），本项最高得2分。 注：提供相关证明资料并加盖公章。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600*600mm 吸顶式 LED 集成灯属于节能产品优先采购范围，提供国家确定的节能产品认证机构颁发的有效期内节能产品认证证书（一份即可），本项得1分；未提供不得分，不做无效标处理。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须提供近三年类似业绩证明材料（2023年3月1日至今，以合同签订日期为准），每具备一项上述业绩得1分，最高得5分。证明材料不全的不予赋分。（提供完整的合同证明资料，工程内容、签章等关键信息及印章清晰），如合同无法体现工作内容，可提供竣工结算等资料进行辅助证明。 注：提供相关证明资料并加盖公章。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价格分采用低价优先法计算，即满足竞争性磋商文件要求且最终报价最低的磋商报价作为评审基准价，其价格分为满分。其他供应商的价格分统一按照下列公式计算： 报价得分=（评审基准价/磋商报价）×30。 说明：本项目为专门面向中小企业项目，因此不再执行价格评审优惠扶持政策。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详见附件：保证金缴纳凭证</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详见附件：施工方案</w:t>
      </w:r>
    </w:p>
    <w:p>
      <w:pPr>
        <w:pStyle w:val="null3"/>
        <w:ind w:firstLine="960"/>
      </w:pPr>
      <w:r>
        <w:rPr>
          <w:rFonts w:ascii="仿宋_GB2312" w:hAnsi="仿宋_GB2312" w:cs="仿宋_GB2312" w:eastAsia="仿宋_GB2312"/>
        </w:rPr>
        <w:t>详见附件：确保工程质量的技术组织措施</w:t>
      </w:r>
    </w:p>
    <w:p>
      <w:pPr>
        <w:pStyle w:val="null3"/>
        <w:ind w:firstLine="960"/>
      </w:pPr>
      <w:r>
        <w:rPr>
          <w:rFonts w:ascii="仿宋_GB2312" w:hAnsi="仿宋_GB2312" w:cs="仿宋_GB2312" w:eastAsia="仿宋_GB2312"/>
        </w:rPr>
        <w:t>详见附件：确保安全生产的技术组织措施</w:t>
      </w:r>
    </w:p>
    <w:p>
      <w:pPr>
        <w:pStyle w:val="null3"/>
        <w:ind w:firstLine="960"/>
      </w:pPr>
      <w:r>
        <w:rPr>
          <w:rFonts w:ascii="仿宋_GB2312" w:hAnsi="仿宋_GB2312" w:cs="仿宋_GB2312" w:eastAsia="仿宋_GB2312"/>
        </w:rPr>
        <w:t>详见附件：确保文明施工的技术组织措施及环境保护措施</w:t>
      </w:r>
    </w:p>
    <w:p>
      <w:pPr>
        <w:pStyle w:val="null3"/>
        <w:ind w:firstLine="960"/>
      </w:pPr>
      <w:r>
        <w:rPr>
          <w:rFonts w:ascii="仿宋_GB2312" w:hAnsi="仿宋_GB2312" w:cs="仿宋_GB2312" w:eastAsia="仿宋_GB2312"/>
        </w:rPr>
        <w:t>详见附件：确保工期的技术组织措施</w:t>
      </w:r>
    </w:p>
    <w:p>
      <w:pPr>
        <w:pStyle w:val="null3"/>
        <w:ind w:firstLine="960"/>
      </w:pPr>
      <w:r>
        <w:rPr>
          <w:rFonts w:ascii="仿宋_GB2312" w:hAnsi="仿宋_GB2312" w:cs="仿宋_GB2312" w:eastAsia="仿宋_GB2312"/>
        </w:rPr>
        <w:t>详见附件：施工机械配备和材料投入计划</w:t>
      </w:r>
    </w:p>
    <w:p>
      <w:pPr>
        <w:pStyle w:val="null3"/>
        <w:ind w:firstLine="960"/>
      </w:pPr>
      <w:r>
        <w:rPr>
          <w:rFonts w:ascii="仿宋_GB2312" w:hAnsi="仿宋_GB2312" w:cs="仿宋_GB2312" w:eastAsia="仿宋_GB2312"/>
        </w:rPr>
        <w:t>详见附件：施工进度表或施工网络图</w:t>
      </w:r>
    </w:p>
    <w:p>
      <w:pPr>
        <w:pStyle w:val="null3"/>
        <w:ind w:firstLine="960"/>
      </w:pPr>
      <w:r>
        <w:rPr>
          <w:rFonts w:ascii="仿宋_GB2312" w:hAnsi="仿宋_GB2312" w:cs="仿宋_GB2312" w:eastAsia="仿宋_GB2312"/>
        </w:rPr>
        <w:t>详见附件：节能环保</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