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版本号：HCXM-CS-2603-0220260403001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第四届陕西省退役军人创业创新大赛</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HCXM-CS-2603-02</w:t>
      </w:r>
      <w:r>
        <w:br/>
      </w:r>
      <w:r>
        <w:br/>
      </w:r>
      <w:r>
        <w:br/>
      </w:r>
    </w:p>
    <w:p>
      <w:pPr>
        <w:pStyle w:val="null3"/>
        <w:jc w:val="center"/>
        <w:outlineLvl w:val="2"/>
      </w:pPr>
      <w:r>
        <w:rPr>
          <w:rFonts w:ascii="仿宋_GB2312" w:hAnsi="仿宋_GB2312" w:cs="仿宋_GB2312" w:eastAsia="仿宋_GB2312"/>
          <w:sz w:val="28"/>
          <w:b/>
        </w:rPr>
        <w:t>陕西省退役军人事务厅机关</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陕西省退役军人事务厅机关</w:t>
      </w:r>
      <w:r>
        <w:rPr>
          <w:rFonts w:ascii="仿宋_GB2312" w:hAnsi="仿宋_GB2312" w:cs="仿宋_GB2312" w:eastAsia="仿宋_GB2312"/>
        </w:rPr>
        <w:t>委托，拟对</w:t>
      </w:r>
      <w:r>
        <w:rPr>
          <w:rFonts w:ascii="仿宋_GB2312" w:hAnsi="仿宋_GB2312" w:cs="仿宋_GB2312" w:eastAsia="仿宋_GB2312"/>
        </w:rPr>
        <w:t>第四届陕西省退役军人创业创新大赛</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HCXM-CS-2603-02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第四届陕西省退役军人创业创新大赛</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陕西省退役军人事务厅第四届陕西省退役军人创业创新大赛，具体详见第三章磋商项目技术、服务、商务及其他要求。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采购包1（第四届陕西省退役军人创业创新大赛）：属于专门面向中小企业采购。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提供2024或2025年度经审计的财务报告（成立时间至提交投标文件截止时间不足一年的可提供成立后任意时段的资产负债表），或其开标前六个月内银行出具的资信证明。（以上两种形式的资料提供任何一种即可）； 3、税收缴纳证明：提供开标截止时间一年内已缴纳至少一个月的依法缴纳税款的相关凭据（时间以税款所属日期为准、税种须包含增值税或企业所得税），凭据应有税务机关或代收机关的公章或业务专用章。依法免税或无须缴纳税款的投标人，应提供相关证明文件； 4、社会保障资金缴纳证明：提供开标截止时间一年内已缴存的至少一个月的社会保障资金缴存单据或社保机构开具的社会保险参保缴费情况证明，依法不需要缴纳社会保障资金的单位应提供相关证明材料； 5、参加本次政府采购活动前三年内在经营活动中没有重大违纪，以及未被列入失信被执行人、重大税收违法失信主体、政府采购严重违法失信行为记录名单的书面声明； 6、提供具有履行合同所必需的设备和专业技术能力的承诺函； 7、法定代表人授权书：法定代表人授权书及被授权人身份证明。（法定代表人直接参与开标只须提供其身份证明）。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陕西省退役军人事务厅机关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西安市新城区新城大院45号楼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陕西省退役军人事务厅何老师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029-63917817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陕西省西安市市本级陕西省西安市高新区团结南路西安国际人才大厦A座1508室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董丽英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13389230971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银行账号：61050192570000000294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人在收到成交通知书后十(10)个日历日内，参照原国家计委《招标代理服务收费管理暂行办法》(计价格[2002]1980号)和《国家发展改革委关于进一步开放建设项目专业服务价格的通知》（发改价格[2015]299号）文件规定的收费标准，向汇成项目管理有限公司交纳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陕西省退役军人事务厅机关</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陕西省退役军人事务厅机关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陕西省退役军人事务厅机关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联系人：董丽英</w:t>
      </w:r>
    </w:p>
    <w:p>
      <w:pPr>
        <w:pStyle w:val="null3"/>
      </w:pPr>
      <w:r>
        <w:rPr>
          <w:rFonts w:ascii="仿宋_GB2312" w:hAnsi="仿宋_GB2312" w:cs="仿宋_GB2312" w:eastAsia="仿宋_GB2312"/>
        </w:rPr>
        <w:t>联系电话：13389230971</w:t>
      </w:r>
    </w:p>
    <w:p>
      <w:pPr>
        <w:pStyle w:val="null3"/>
      </w:pPr>
      <w:r>
        <w:rPr>
          <w:rFonts w:ascii="仿宋_GB2312" w:hAnsi="仿宋_GB2312" w:cs="仿宋_GB2312" w:eastAsia="仿宋_GB2312"/>
        </w:rPr>
        <w:t>地址：陕西省西安市雁塔区团结南路12号西安国际人才大厦A座北1508室</w:t>
      </w:r>
    </w:p>
    <w:p>
      <w:pPr>
        <w:pStyle w:val="null3"/>
      </w:pPr>
      <w:r>
        <w:rPr>
          <w:rFonts w:ascii="仿宋_GB2312" w:hAnsi="仿宋_GB2312" w:cs="仿宋_GB2312" w:eastAsia="仿宋_GB2312"/>
        </w:rPr>
        <w:t>邮编： 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陕西省退役军人事务厅第四届陕西省退役军人创业创新大赛，具体详见第三章磋商项目技术、服务、商务及其他要求。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举办创业创新大赛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标的名称：举办创业创新大赛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一、项目背景</w:t>
            </w:r>
          </w:p>
          <w:p>
            <w:pPr>
              <w:pStyle w:val="null3"/>
              <w:jc w:val="left"/>
            </w:pPr>
            <w:r>
              <w:rPr>
                <w:rFonts w:ascii="仿宋_GB2312" w:hAnsi="仿宋_GB2312" w:cs="仿宋_GB2312" w:eastAsia="仿宋_GB2312"/>
                <w:sz w:val="24"/>
              </w:rPr>
              <w:t>为贯彻国家创新驱动发展战略，联动政府、企业、金融等多方资源，打通退役军人创业</w:t>
            </w:r>
            <w:r>
              <w:rPr>
                <w:rFonts w:ascii="仿宋_GB2312" w:hAnsi="仿宋_GB2312" w:cs="仿宋_GB2312" w:eastAsia="仿宋_GB2312"/>
                <w:sz w:val="24"/>
              </w:rPr>
              <w:t>“政策扶持、培训指导、资本对接” 全链条服务，挖掘培养科技创新、产业创新类优质军创项目，打造陕西军创品牌。同时选拔优秀项目参与第四届全国退役军人创业创新大赛决赛，激发退役军人创业创新潜能，营造 “退役有为、创业光荣” 的社会氛围，推动退役军人就业创业工作高质量发展退役军人事务部。</w:t>
            </w:r>
          </w:p>
          <w:p>
            <w:pPr>
              <w:pStyle w:val="null3"/>
              <w:jc w:val="left"/>
            </w:pPr>
            <w:r>
              <w:rPr>
                <w:rFonts w:ascii="仿宋_GB2312" w:hAnsi="仿宋_GB2312" w:cs="仿宋_GB2312" w:eastAsia="仿宋_GB2312"/>
                <w:sz w:val="24"/>
              </w:rPr>
              <w:t>陕西省退役军人创业创新大赛已成功举办三届，成为退役军人展示创业成果、交流合作的重要平台，为本次大赛的举办奠定了良好的基础和经验</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、大赛主题</w:t>
            </w:r>
          </w:p>
          <w:p>
            <w:pPr>
              <w:pStyle w:val="null3"/>
              <w:jc w:val="both"/>
            </w:pPr>
            <w:r>
              <w:rPr>
                <w:rFonts w:ascii="仿宋_GB2312" w:hAnsi="仿宋_GB2312" w:cs="仿宋_GB2312" w:eastAsia="仿宋_GB2312"/>
                <w:sz w:val="24"/>
              </w:rPr>
              <w:t>立创业创新潮头</w:t>
            </w:r>
            <w:r>
              <w:rPr>
                <w:rFonts w:ascii="仿宋_GB2312" w:hAnsi="仿宋_GB2312" w:cs="仿宋_GB2312" w:eastAsia="仿宋_GB2312"/>
                <w:sz w:val="24"/>
              </w:rPr>
              <w:t xml:space="preserve"> </w:t>
            </w:r>
            <w:r>
              <w:rPr>
                <w:rFonts w:ascii="仿宋_GB2312" w:hAnsi="仿宋_GB2312" w:cs="仿宋_GB2312" w:eastAsia="仿宋_GB2312"/>
                <w:sz w:val="24"/>
              </w:rPr>
              <w:t>展退役军人风采</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、赛事举办时间</w:t>
            </w:r>
            <w:r>
              <w:rPr>
                <w:rFonts w:ascii="仿宋_GB2312" w:hAnsi="仿宋_GB2312" w:cs="仿宋_GB2312" w:eastAsia="仿宋_GB2312"/>
                <w:sz w:val="24"/>
                <w:b/>
              </w:rPr>
              <w:t>和地点</w:t>
            </w:r>
          </w:p>
          <w:p>
            <w:pPr>
              <w:pStyle w:val="null3"/>
              <w:jc w:val="left"/>
            </w:pPr>
            <w:r>
              <w:rPr>
                <w:rFonts w:ascii="仿宋_GB2312" w:hAnsi="仿宋_GB2312" w:cs="仿宋_GB2312" w:eastAsia="仿宋_GB2312"/>
                <w:sz w:val="24"/>
              </w:rPr>
              <w:t>2026年4月至6月，各市局组织初赛；6月10日（周三）-6月12日（周五），在西安市组织复赛，全国决赛时间根据部工作安排下半年举行。</w:t>
            </w:r>
          </w:p>
          <w:p>
            <w:pPr>
              <w:pStyle w:val="null3"/>
              <w:jc w:val="left"/>
            </w:pPr>
            <w:r>
              <w:rPr>
                <w:rFonts w:ascii="仿宋_GB2312" w:hAnsi="仿宋_GB2312" w:cs="仿宋_GB2312" w:eastAsia="仿宋_GB2312"/>
                <w:sz w:val="24"/>
                <w:b/>
              </w:rPr>
              <w:t>四、服务内容及要求</w:t>
            </w:r>
          </w:p>
          <w:p>
            <w:pPr>
              <w:pStyle w:val="null3"/>
              <w:jc w:val="left"/>
            </w:pPr>
            <w:r>
              <w:rPr>
                <w:rFonts w:ascii="仿宋_GB2312" w:hAnsi="仿宋_GB2312" w:cs="仿宋_GB2312" w:eastAsia="仿宋_GB2312"/>
                <w:sz w:val="24"/>
              </w:rPr>
              <w:t>1.组织形式</w:t>
            </w:r>
          </w:p>
          <w:p>
            <w:pPr>
              <w:pStyle w:val="null3"/>
              <w:jc w:val="left"/>
            </w:pPr>
            <w:r>
              <w:rPr>
                <w:rFonts w:ascii="仿宋_GB2312" w:hAnsi="仿宋_GB2312" w:cs="仿宋_GB2312" w:eastAsia="仿宋_GB2312"/>
                <w:sz w:val="24"/>
              </w:rPr>
              <w:t>大赛设</w:t>
            </w:r>
            <w:r>
              <w:rPr>
                <w:rFonts w:ascii="仿宋_GB2312" w:hAnsi="仿宋_GB2312" w:cs="仿宋_GB2312" w:eastAsia="仿宋_GB2312"/>
                <w:sz w:val="24"/>
              </w:rPr>
              <w:t>“新兴和未来产业”“传统产业”“生活服务业”“现代农业（乡村振兴）”4 个赛道。参赛企业、团队按照赛道报名参赛。通过报名、初赛、决赛三个阶段组织实施。</w:t>
            </w:r>
          </w:p>
          <w:p>
            <w:pPr>
              <w:pStyle w:val="null3"/>
              <w:jc w:val="left"/>
            </w:pPr>
            <w:r>
              <w:rPr>
                <w:rFonts w:ascii="仿宋_GB2312" w:hAnsi="仿宋_GB2312" w:cs="仿宋_GB2312" w:eastAsia="仿宋_GB2312"/>
                <w:sz w:val="24"/>
              </w:rPr>
              <w:t>决赛为期</w:t>
            </w:r>
            <w:r>
              <w:rPr>
                <w:rFonts w:ascii="仿宋_GB2312" w:hAnsi="仿宋_GB2312" w:cs="仿宋_GB2312" w:eastAsia="仿宋_GB2312"/>
                <w:sz w:val="24"/>
              </w:rPr>
              <w:t>3天，预计50支参赛队，共160人左右参加。分为赛前培训、启动仪式、分享交流、重温军旅、路演评比、颁奖仪式、产品展示7个环节。</w:t>
            </w:r>
          </w:p>
          <w:p>
            <w:pPr>
              <w:pStyle w:val="null3"/>
              <w:jc w:val="left"/>
            </w:pPr>
            <w:r>
              <w:rPr>
                <w:rFonts w:ascii="仿宋_GB2312" w:hAnsi="仿宋_GB2312" w:cs="仿宋_GB2312" w:eastAsia="仿宋_GB2312"/>
                <w:sz w:val="24"/>
              </w:rPr>
              <w:t>决赛路演评比环节，由组委会邀请省内外创投人士、企业家、退役军人创业导师、金融机构及行业专家组成评审委员会，依据评分细则对决赛路演进行综合评分，确定获奖名单，并现场举行颁奖典礼。</w:t>
            </w:r>
          </w:p>
          <w:p>
            <w:pPr>
              <w:pStyle w:val="null3"/>
              <w:jc w:val="left"/>
            </w:pPr>
            <w:r>
              <w:rPr>
                <w:rFonts w:ascii="仿宋_GB2312" w:hAnsi="仿宋_GB2312" w:cs="仿宋_GB2312" w:eastAsia="仿宋_GB2312"/>
                <w:sz w:val="24"/>
              </w:rPr>
              <w:t>2.大赛奖项</w:t>
            </w:r>
          </w:p>
          <w:p>
            <w:pPr>
              <w:pStyle w:val="null3"/>
              <w:jc w:val="left"/>
            </w:pPr>
            <w:r>
              <w:rPr>
                <w:rFonts w:ascii="仿宋_GB2312" w:hAnsi="仿宋_GB2312" w:cs="仿宋_GB2312" w:eastAsia="仿宋_GB2312"/>
                <w:sz w:val="24"/>
              </w:rPr>
              <w:t>每个赛道各设置一等奖</w:t>
            </w:r>
            <w:r>
              <w:rPr>
                <w:rFonts w:ascii="仿宋_GB2312" w:hAnsi="仿宋_GB2312" w:cs="仿宋_GB2312" w:eastAsia="仿宋_GB2312"/>
                <w:sz w:val="24"/>
              </w:rPr>
              <w:t>1名，二等奖2名，三等奖4名，优胜奖若干名；以上奖项仅颁发荣誉证书和奖杯。</w:t>
            </w:r>
          </w:p>
          <w:p>
            <w:pPr>
              <w:pStyle w:val="null3"/>
              <w:jc w:val="left"/>
            </w:pPr>
            <w:r>
              <w:rPr>
                <w:rFonts w:ascii="仿宋_GB2312" w:hAnsi="仿宋_GB2312" w:cs="仿宋_GB2312" w:eastAsia="仿宋_GB2312"/>
                <w:sz w:val="24"/>
              </w:rPr>
              <w:t>3.全国决赛</w:t>
            </w:r>
          </w:p>
          <w:p>
            <w:pPr>
              <w:pStyle w:val="null3"/>
              <w:jc w:val="left"/>
            </w:pPr>
            <w:r>
              <w:rPr>
                <w:rFonts w:ascii="仿宋_GB2312" w:hAnsi="仿宋_GB2312" w:cs="仿宋_GB2312" w:eastAsia="仿宋_GB2312"/>
                <w:sz w:val="24"/>
              </w:rPr>
              <w:t>赛前辅导</w:t>
            </w:r>
            <w:r>
              <w:rPr>
                <w:rFonts w:ascii="仿宋_GB2312" w:hAnsi="仿宋_GB2312" w:cs="仿宋_GB2312" w:eastAsia="仿宋_GB2312"/>
                <w:sz w:val="24"/>
              </w:rPr>
              <w:t>：</w:t>
            </w:r>
            <w:r>
              <w:rPr>
                <w:rFonts w:ascii="仿宋_GB2312" w:hAnsi="仿宋_GB2312" w:cs="仿宋_GB2312" w:eastAsia="仿宋_GB2312"/>
                <w:sz w:val="24"/>
              </w:rPr>
              <w:t>导师辅导</w:t>
            </w:r>
            <w:r>
              <w:rPr>
                <w:rFonts w:ascii="仿宋_GB2312" w:hAnsi="仿宋_GB2312" w:cs="仿宋_GB2312" w:eastAsia="仿宋_GB2312"/>
                <w:sz w:val="24"/>
              </w:rPr>
              <w:t>5</w:t>
            </w:r>
            <w:r>
              <w:rPr>
                <w:rFonts w:ascii="仿宋_GB2312" w:hAnsi="仿宋_GB2312" w:cs="仿宋_GB2312" w:eastAsia="仿宋_GB2312"/>
                <w:sz w:val="24"/>
              </w:rPr>
              <w:t>人，赛前一对一辅导</w:t>
            </w:r>
            <w:r>
              <w:rPr>
                <w:rFonts w:ascii="仿宋_GB2312" w:hAnsi="仿宋_GB2312" w:cs="仿宋_GB2312" w:eastAsia="仿宋_GB2312"/>
                <w:sz w:val="24"/>
              </w:rPr>
              <w:t>。</w:t>
            </w:r>
            <w:r>
              <w:rPr>
                <w:rFonts w:ascii="仿宋_GB2312" w:hAnsi="仿宋_GB2312" w:cs="仿宋_GB2312" w:eastAsia="仿宋_GB2312"/>
                <w:sz w:val="24"/>
              </w:rPr>
              <w:t>PPT、视频设计包装、商业计划书优化、路演技巧、答辩技巧的培训</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含参加决赛选手、导师由</w:t>
            </w:r>
            <w:r>
              <w:rPr>
                <w:rFonts w:ascii="仿宋_GB2312" w:hAnsi="仿宋_GB2312" w:cs="仿宋_GB2312" w:eastAsia="仿宋_GB2312"/>
                <w:sz w:val="24"/>
              </w:rPr>
              <w:t>西安往返决赛城市交通</w:t>
            </w:r>
            <w:r>
              <w:rPr>
                <w:rFonts w:ascii="仿宋_GB2312" w:hAnsi="仿宋_GB2312" w:cs="仿宋_GB2312" w:eastAsia="仿宋_GB2312"/>
                <w:sz w:val="24"/>
              </w:rPr>
              <w:t>费用，</w:t>
            </w:r>
            <w:r>
              <w:rPr>
                <w:rFonts w:ascii="仿宋_GB2312" w:hAnsi="仿宋_GB2312" w:cs="仿宋_GB2312" w:eastAsia="仿宋_GB2312"/>
                <w:sz w:val="24"/>
              </w:rPr>
              <w:t>决赛期间食宿</w:t>
            </w:r>
            <w:r>
              <w:rPr>
                <w:rFonts w:ascii="仿宋_GB2312" w:hAnsi="仿宋_GB2312" w:cs="仿宋_GB2312" w:eastAsia="仿宋_GB2312"/>
                <w:sz w:val="24"/>
              </w:rPr>
              <w:t>费用等</w:t>
            </w:r>
            <w:r>
              <w:rPr>
                <w:rFonts w:ascii="仿宋_GB2312" w:hAnsi="仿宋_GB2312" w:cs="仿宋_GB2312" w:eastAsia="仿宋_GB2312"/>
                <w:sz w:val="24"/>
              </w:rPr>
              <w:t>（约</w:t>
            </w:r>
            <w:r>
              <w:rPr>
                <w:rFonts w:ascii="仿宋_GB2312" w:hAnsi="仿宋_GB2312" w:cs="仿宋_GB2312" w:eastAsia="仿宋_GB2312"/>
                <w:sz w:val="24"/>
              </w:rPr>
              <w:t>10人左右）</w:t>
            </w:r>
            <w:r>
              <w:rPr>
                <w:rFonts w:ascii="仿宋_GB2312" w:hAnsi="仿宋_GB2312" w:cs="仿宋_GB2312" w:eastAsia="仿宋_GB2312"/>
                <w:sz w:val="24"/>
              </w:rPr>
              <w:t>。</w:t>
            </w:r>
          </w:p>
          <w:tbl>
            <w:tblPr>
              <w:tblBorders>
                <w:top w:val="none" w:color="000000" w:sz="4"/>
                <w:left w:val="none" w:color="000000" w:sz="4"/>
                <w:bottom w:val="none" w:color="000000" w:sz="4"/>
                <w:right w:val="none" w:color="000000" w:sz="4"/>
                <w:insideH w:val="none"/>
                <w:insideV w:val="none"/>
              </w:tblBorders>
            </w:tblPr>
            <w:tblGrid>
              <w:gridCol w:w="392"/>
              <w:gridCol w:w="397"/>
              <w:gridCol w:w="1764"/>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省</w:t>
                  </w:r>
                  <w:r>
                    <w:rPr>
                      <w:rFonts w:ascii="仿宋_GB2312" w:hAnsi="仿宋_GB2312" w:cs="仿宋_GB2312" w:eastAsia="仿宋_GB2312"/>
                      <w:sz w:val="21"/>
                      <w:b/>
                    </w:rPr>
                    <w:t xml:space="preserve"> </w:t>
                  </w:r>
                  <w:r>
                    <w:rPr>
                      <w:rFonts w:ascii="仿宋_GB2312" w:hAnsi="仿宋_GB2312" w:cs="仿宋_GB2312" w:eastAsia="仿宋_GB2312"/>
                      <w:sz w:val="24"/>
                      <w:b/>
                      <w:color w:val="000000"/>
                    </w:rPr>
                    <w:t>赛</w:t>
                  </w:r>
                </w:p>
              </w:tc>
            </w:tr>
            <w:tr>
              <w:tc>
                <w:tcPr>
                  <w:tcW w:type="dxa" w:w="7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1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内容</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设计策划</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设计策划</w:t>
                  </w:r>
                </w:p>
              </w:tc>
              <w:tc>
                <w:tcPr>
                  <w:tcW w:type="dxa" w:w="1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负责大赛全流程的方案设计、活动策划、大赛宣传、落地执行等工作</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物料搭建</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所有物料</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包含但不局限于舞台、</w:t>
                  </w:r>
                  <w:r>
                    <w:rPr>
                      <w:rFonts w:ascii="仿宋_GB2312" w:hAnsi="仿宋_GB2312" w:cs="仿宋_GB2312" w:eastAsia="仿宋_GB2312"/>
                      <w:sz w:val="24"/>
                      <w:color w:val="000000"/>
                    </w:rPr>
                    <w:t>LED</w:t>
                  </w:r>
                  <w:r>
                    <w:rPr>
                      <w:rFonts w:ascii="仿宋_GB2312" w:hAnsi="仿宋_GB2312" w:cs="仿宋_GB2312" w:eastAsia="仿宋_GB2312"/>
                      <w:sz w:val="24"/>
                      <w:color w:val="000000"/>
                    </w:rPr>
                    <w:t>大屏、背景板、灯光、音响、指示</w:t>
                  </w:r>
                  <w:r>
                    <w:rPr>
                      <w:rFonts w:ascii="仿宋_GB2312" w:hAnsi="仿宋_GB2312" w:cs="仿宋_GB2312" w:eastAsia="仿宋_GB2312"/>
                      <w:sz w:val="24"/>
                      <w:color w:val="000000"/>
                    </w:rPr>
                    <w:t>标识</w:t>
                  </w:r>
                  <w:r>
                    <w:rPr>
                      <w:rFonts w:ascii="仿宋_GB2312" w:hAnsi="仿宋_GB2312" w:cs="仿宋_GB2312" w:eastAsia="仿宋_GB2312"/>
                      <w:sz w:val="24"/>
                      <w:color w:val="000000"/>
                    </w:rPr>
                    <w:t>、签到板、奖杯、证书、手册及军创产品展示区</w:t>
                  </w:r>
                  <w:r>
                    <w:rPr>
                      <w:rFonts w:ascii="仿宋_GB2312" w:hAnsi="仿宋_GB2312" w:cs="仿宋_GB2312" w:eastAsia="仿宋_GB2312"/>
                      <w:sz w:val="24"/>
                      <w:color w:val="000000"/>
                    </w:rPr>
                    <w:t>等物料的设计、制作与搭建</w:t>
                  </w:r>
                </w:p>
              </w:tc>
            </w:tr>
            <w:tr>
              <w:tc>
                <w:tcPr>
                  <w:tcW w:type="dxa" w:w="3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大赛评委</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评委</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评委共</w:t>
                  </w:r>
                  <w:r>
                    <w:rPr>
                      <w:rFonts w:ascii="仿宋_GB2312" w:hAnsi="仿宋_GB2312" w:cs="仿宋_GB2312" w:eastAsia="仿宋_GB2312"/>
                      <w:sz w:val="24"/>
                      <w:color w:val="000000"/>
                    </w:rPr>
                    <w:t>10人，</w:t>
                  </w:r>
                  <w:r>
                    <w:rPr>
                      <w:rFonts w:ascii="仿宋_GB2312" w:hAnsi="仿宋_GB2312" w:cs="仿宋_GB2312" w:eastAsia="仿宋_GB2312"/>
                      <w:sz w:val="24"/>
                      <w:color w:val="000000"/>
                    </w:rPr>
                    <w:t>由</w:t>
                  </w:r>
                  <w:r>
                    <w:rPr>
                      <w:rFonts w:ascii="仿宋_GB2312" w:hAnsi="仿宋_GB2312" w:cs="仿宋_GB2312" w:eastAsia="仿宋_GB2312"/>
                      <w:sz w:val="24"/>
                      <w:color w:val="000000"/>
                    </w:rPr>
                    <w:t>政府相关部门专家、退役军人导师、金融机构及行业专家学者</w:t>
                  </w:r>
                  <w:r>
                    <w:rPr>
                      <w:rFonts w:ascii="仿宋_GB2312" w:hAnsi="仿宋_GB2312" w:cs="仿宋_GB2312" w:eastAsia="仿宋_GB2312"/>
                      <w:sz w:val="24"/>
                      <w:color w:val="000000"/>
                    </w:rPr>
                    <w:t>共同</w:t>
                  </w:r>
                  <w:r>
                    <w:rPr>
                      <w:rFonts w:ascii="仿宋_GB2312" w:hAnsi="仿宋_GB2312" w:cs="仿宋_GB2312" w:eastAsia="仿宋_GB2312"/>
                      <w:sz w:val="24"/>
                      <w:color w:val="000000"/>
                    </w:rPr>
                    <w:t>组成</w:t>
                  </w:r>
                </w:p>
              </w:tc>
            </w:tr>
            <w:tr>
              <w:tc>
                <w:tcPr>
                  <w:tcW w:type="dxa" w:w="392"/>
                  <w:vMerge/>
                  <w:tcBorders>
                    <w:top w:val="none" w:color="000000" w:sz="4"/>
                    <w:left w:val="single" w:color="000000" w:sz="4"/>
                    <w:bottom w:val="single" w:color="000000" w:sz="4"/>
                    <w:right w:val="single" w:color="000000" w:sz="4"/>
                  </w:tcBorders>
                </w:tcP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主持</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邀请专业主持人，负责开营仪式、决赛路演及颁奖等环节的全程主持工作</w:t>
                  </w:r>
                </w:p>
              </w:tc>
            </w:tr>
            <w:tr>
              <w:tc>
                <w:tcPr>
                  <w:tcW w:type="dxa" w:w="392"/>
                  <w:vMerge/>
                  <w:tcBorders>
                    <w:top w:val="none" w:color="000000" w:sz="4"/>
                    <w:left w:val="single" w:color="000000" w:sz="4"/>
                    <w:bottom w:val="single" w:color="000000" w:sz="4"/>
                    <w:right w:val="single" w:color="000000" w:sz="4"/>
                  </w:tcBorders>
                </w:tcP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导师</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邀请训练营导师（含国赛）</w:t>
                  </w:r>
                </w:p>
              </w:tc>
            </w:tr>
            <w:tr>
              <w:tc>
                <w:tcPr>
                  <w:tcW w:type="dxa" w:w="3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赛事活动</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赛事统筹</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协助采购人进行大赛各项工作开展和执行工作；全程跟进赛事各阶段工作进展情况，跟进大赛报名、赛事开展等情况，服务期间每周提交工作简报。配合采购人在报名阶段进行咨询和指导，对所有晋级复赛项目进行资格审查，包括但不限于通过官方备案企业征信机构取得相关账号或授权进行核查等方式</w:t>
                  </w:r>
                  <w:r>
                    <w:rPr>
                      <w:rFonts w:ascii="仿宋_GB2312" w:hAnsi="仿宋_GB2312" w:cs="仿宋_GB2312" w:eastAsia="仿宋_GB2312"/>
                      <w:sz w:val="24"/>
                      <w:color w:val="000000"/>
                    </w:rPr>
                    <w:t>。</w:t>
                  </w:r>
                </w:p>
              </w:tc>
            </w:tr>
            <w:tr>
              <w:tc>
                <w:tcPr>
                  <w:tcW w:type="dxa" w:w="392"/>
                  <w:vMerge/>
                  <w:tcBorders>
                    <w:top w:val="none" w:color="000000" w:sz="4"/>
                    <w:left w:val="single" w:color="000000" w:sz="4"/>
                    <w:bottom w:val="single" w:color="000000" w:sz="4"/>
                    <w:right w:val="single" w:color="000000" w:sz="4"/>
                  </w:tcBorders>
                </w:tcP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赛前辅导</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按关中、陕南、陕北分区组织入围决赛企业开展赛前培训。重点围绕路演技巧、商业计划书优化、答辩规范、决赛流程等内容进行辅导，提升参赛项目路演水平。</w:t>
                  </w:r>
                </w:p>
              </w:tc>
            </w:tr>
            <w:tr>
              <w:tc>
                <w:tcPr>
                  <w:tcW w:type="dxa" w:w="392"/>
                  <w:vMerge/>
                  <w:tcBorders>
                    <w:top w:val="none" w:color="000000" w:sz="4"/>
                    <w:left w:val="single" w:color="000000" w:sz="4"/>
                    <w:bottom w:val="single" w:color="000000" w:sz="4"/>
                    <w:right w:val="single" w:color="000000" w:sz="4"/>
                  </w:tcBorders>
                </w:tcP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人员配备</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省级决赛及颁奖典礼期间，配备不少于</w:t>
                  </w:r>
                  <w:r>
                    <w:rPr>
                      <w:rFonts w:ascii="仿宋_GB2312" w:hAnsi="仿宋_GB2312" w:cs="仿宋_GB2312" w:eastAsia="仿宋_GB2312"/>
                      <w:sz w:val="24"/>
                      <w:color w:val="000000"/>
                    </w:rPr>
                    <w:t>15名工作人员，其中设项目负责人1名，主要执行人不少于3名，负责现场协调、后勤保障、秩序维护等。大赛配套活动期间，配备不少于5名工作人员。</w:t>
                  </w:r>
                </w:p>
              </w:tc>
            </w:tr>
            <w:tr>
              <w:tc>
                <w:tcPr>
                  <w:tcW w:type="dxa" w:w="392"/>
                  <w:vMerge/>
                  <w:tcBorders>
                    <w:top w:val="none" w:color="000000" w:sz="4"/>
                    <w:left w:val="single" w:color="000000" w:sz="4"/>
                    <w:bottom w:val="single" w:color="000000" w:sz="4"/>
                    <w:right w:val="single" w:color="000000" w:sz="4"/>
                  </w:tcBorders>
                </w:tcP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现场会务</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做好参赛项目的通知联系、比赛彩排、组织管理等工</w:t>
                  </w:r>
                </w:p>
                <w:p>
                  <w:pPr>
                    <w:pStyle w:val="null3"/>
                    <w:jc w:val="left"/>
                  </w:pPr>
                  <w:r>
                    <w:rPr>
                      <w:rFonts w:ascii="仿宋_GB2312" w:hAnsi="仿宋_GB2312" w:cs="仿宋_GB2312" w:eastAsia="仿宋_GB2312"/>
                      <w:sz w:val="24"/>
                      <w:color w:val="000000"/>
                    </w:rPr>
                    <w:t>作；组织评审专家邀请、参与评审工作；做好参赛人员（含嘉宾、媒体人员、主持人</w:t>
                  </w:r>
                  <w:r>
                    <w:rPr>
                      <w:rFonts w:ascii="仿宋_GB2312" w:hAnsi="仿宋_GB2312" w:cs="仿宋_GB2312" w:eastAsia="仿宋_GB2312"/>
                      <w:sz w:val="24"/>
                      <w:color w:val="000000"/>
                    </w:rPr>
                    <w:t>等）的对接联系、接待安排，为重要嘉宾等人员往返提供必要的车辆保障及酒店食宿。负责赛事全流程的现场执行，秩序维护</w:t>
                  </w:r>
                  <w:r>
                    <w:rPr>
                      <w:rFonts w:ascii="仿宋_GB2312" w:hAnsi="仿宋_GB2312" w:cs="仿宋_GB2312" w:eastAsia="仿宋_GB2312"/>
                      <w:sz w:val="24"/>
                      <w:color w:val="000000"/>
                    </w:rPr>
                    <w:t>。</w:t>
                  </w:r>
                </w:p>
              </w:tc>
            </w:tr>
            <w:tr>
              <w:tc>
                <w:tcPr>
                  <w:tcW w:type="dxa" w:w="3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摄影摄像</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图片直播</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大赛全程照片直播服务，完成各环节现场图片的拍摄与实时推送</w:t>
                  </w:r>
                </w:p>
              </w:tc>
            </w:tr>
            <w:tr>
              <w:tc>
                <w:tcPr>
                  <w:tcW w:type="dxa" w:w="392"/>
                  <w:vMerge/>
                  <w:tcBorders>
                    <w:top w:val="none" w:color="000000" w:sz="4"/>
                    <w:left w:val="single" w:color="000000" w:sz="4"/>
                    <w:bottom w:val="single" w:color="000000" w:sz="4"/>
                    <w:right w:val="single" w:color="000000" w:sz="4"/>
                  </w:tcBorders>
                </w:tcP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视频拍摄</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采用专业高清数码摄像机，以</w:t>
                  </w:r>
                  <w:r>
                    <w:rPr>
                      <w:rFonts w:ascii="仿宋_GB2312" w:hAnsi="仿宋_GB2312" w:cs="仿宋_GB2312" w:eastAsia="仿宋_GB2312"/>
                      <w:sz w:val="24"/>
                      <w:color w:val="000000"/>
                    </w:rPr>
                    <w:t>4K画质全程记录大赛过程，完成视频素材剪辑，制作时长不少于5分钟的大赛官方纪录片</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媒体宣传</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宣传</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以陕西退役军人创业创新为核心主题，根据大赛进度，在启动宣传、报名审核、复赛、决赛及颁奖等阶段，分重点、多渠道、全方位开展形式多样的宣传报道。</w:t>
                  </w:r>
                </w:p>
                <w:p>
                  <w:pPr>
                    <w:pStyle w:val="null3"/>
                    <w:jc w:val="both"/>
                  </w:pPr>
                  <w:r>
                    <w:rPr>
                      <w:rFonts w:ascii="仿宋_GB2312" w:hAnsi="仿宋_GB2312" w:cs="仿宋_GB2312" w:eastAsia="仿宋_GB2312"/>
                      <w:sz w:val="24"/>
                      <w:color w:val="000000"/>
                    </w:rPr>
                    <w:t>全程联动不少于</w:t>
                  </w:r>
                  <w:r>
                    <w:rPr>
                      <w:rFonts w:ascii="仿宋_GB2312" w:hAnsi="仿宋_GB2312" w:cs="仿宋_GB2312" w:eastAsia="仿宋_GB2312"/>
                      <w:sz w:val="24"/>
                      <w:color w:val="000000"/>
                    </w:rPr>
                    <w:t>10家媒体（含纸媒、网络媒体、短视频平台、户外媒体等），全面提升大赛覆盖面与影响力。</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人员食宿</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共</w:t>
                  </w:r>
                  <w:r>
                    <w:rPr>
                      <w:rFonts w:ascii="仿宋_GB2312" w:hAnsi="仿宋_GB2312" w:cs="仿宋_GB2312" w:eastAsia="仿宋_GB2312"/>
                      <w:sz w:val="24"/>
                      <w:color w:val="000000"/>
                    </w:rPr>
                    <w:t>3天</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保障</w:t>
                  </w:r>
                  <w:r>
                    <w:rPr>
                      <w:rFonts w:ascii="仿宋_GB2312" w:hAnsi="仿宋_GB2312" w:cs="仿宋_GB2312" w:eastAsia="仿宋_GB2312"/>
                      <w:sz w:val="24"/>
                      <w:color w:val="000000"/>
                    </w:rPr>
                    <w:t>3天活动期间不少于160人食宿安排</w:t>
                  </w:r>
                </w:p>
              </w:tc>
            </w:tr>
            <w:tr>
              <w:tc>
                <w:tcPr>
                  <w:tcW w:type="dxa" w:w="3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场地使用</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会场</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活动期间大堂场地使用共计</w:t>
                  </w:r>
                  <w:r>
                    <w:rPr>
                      <w:rFonts w:ascii="仿宋_GB2312" w:hAnsi="仿宋_GB2312" w:cs="仿宋_GB2312" w:eastAsia="仿宋_GB2312"/>
                      <w:sz w:val="24"/>
                      <w:color w:val="000000"/>
                    </w:rPr>
                    <w:t>3天，会议室使用1次</w:t>
                  </w:r>
                </w:p>
                <w:p>
                  <w:pPr>
                    <w:pStyle w:val="null3"/>
                    <w:jc w:val="both"/>
                  </w:pPr>
                  <w:r>
                    <w:rPr>
                      <w:rFonts w:ascii="仿宋_GB2312" w:hAnsi="仿宋_GB2312" w:cs="仿宋_GB2312" w:eastAsia="仿宋_GB2312"/>
                      <w:sz w:val="24"/>
                      <w:color w:val="000000"/>
                    </w:rPr>
                    <w:t>，大</w:t>
                  </w:r>
                  <w:r>
                    <w:rPr>
                      <w:rFonts w:ascii="仿宋_GB2312" w:hAnsi="仿宋_GB2312" w:cs="仿宋_GB2312" w:eastAsia="仿宋_GB2312"/>
                      <w:sz w:val="24"/>
                      <w:color w:val="000000"/>
                    </w:rPr>
                    <w:t>会</w:t>
                  </w:r>
                  <w:r>
                    <w:rPr>
                      <w:rFonts w:ascii="仿宋_GB2312" w:hAnsi="仿宋_GB2312" w:cs="仿宋_GB2312" w:eastAsia="仿宋_GB2312"/>
                      <w:sz w:val="24"/>
                      <w:color w:val="000000"/>
                    </w:rPr>
                    <w:t>堂容纳</w:t>
                  </w:r>
                  <w:r>
                    <w:rPr>
                      <w:rFonts w:ascii="仿宋_GB2312" w:hAnsi="仿宋_GB2312" w:cs="仿宋_GB2312" w:eastAsia="仿宋_GB2312"/>
                      <w:sz w:val="24"/>
                      <w:color w:val="000000"/>
                    </w:rPr>
                    <w:t>200人以上，会议室容纳20人以上。</w:t>
                  </w:r>
                </w:p>
              </w:tc>
            </w:tr>
            <w:tr>
              <w:tc>
                <w:tcPr>
                  <w:tcW w:type="dxa" w:w="392"/>
                  <w:vMerge/>
                  <w:tcBorders>
                    <w:top w:val="none" w:color="000000" w:sz="4"/>
                    <w:left w:val="single" w:color="000000" w:sz="4"/>
                    <w:bottom w:val="single" w:color="000000" w:sz="4"/>
                    <w:right w:val="single" w:color="000000" w:sz="4"/>
                  </w:tcBorders>
                </w:tcP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展位</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活动期间军创产品展位使用广场、走廊等</w:t>
                  </w:r>
                  <w:r>
                    <w:rPr>
                      <w:rFonts w:ascii="仿宋_GB2312" w:hAnsi="仿宋_GB2312" w:cs="仿宋_GB2312" w:eastAsia="仿宋_GB2312"/>
                      <w:sz w:val="24"/>
                      <w:color w:val="000000"/>
                    </w:rPr>
                    <w:t>3天</w:t>
                  </w:r>
                </w:p>
              </w:tc>
            </w:tr>
            <w:tr>
              <w:tc>
                <w:tcPr>
                  <w:tcW w:type="dxa" w:w="392"/>
                  <w:vMerge/>
                  <w:tcBorders>
                    <w:top w:val="none" w:color="000000" w:sz="4"/>
                    <w:left w:val="single" w:color="000000" w:sz="4"/>
                    <w:bottom w:val="single" w:color="000000" w:sz="4"/>
                    <w:right w:val="single" w:color="000000" w:sz="4"/>
                  </w:tcBorders>
                </w:tcP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进场</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活动期间酒店布展进场费用</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2026年4月-12月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省赛完成并经采购人验收合格后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国赛完成并经采购人验收合格后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1、成交供应商需在项目招标结束后提交纸质响应文件正本壹份、副本壹份、电子版壹份（U盘壹份）。 2、纸质响应文件正副本分别胶装，纸质文件递交地点：陕西省西安市雁塔区团结南路12号西安国际人才大厦A座北1508室。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提供2024或2025年度经审计的财务报告（成立时间至提交投标文件截止时间不足一年的可提供成立后任意时段的资产负债表），或其开标前六个月内银行出具的资信证明。（以上两种形式的资料提供任何一种即可）； 3、税收缴纳证明：提供开标截止时间一年内已缴纳至少一个月的依法缴纳税款的相关凭据（时间以税款所属日期为准、税种须包含增值税或企业所得税），凭据应有税务机关或代收机关的公章或业务专用章。依法免税或无须缴纳税款的投标人，应提供相关证明文件； 4、社会保障资金缴纳证明：提供开标截止时间一年内已缴存的至少一个月的社会保障资金缴存单据或社保机构开具的社会保险参保缴费情况证明，依法不需要缴纳社会保障资金的单位应提供相关证明材料； 5、参加本次政府采购活动前三年内在经营活动中没有重大违纪，以及未被列入失信被执行人、重大税收违法失信主体、政府采购严重违法失信行为记录名单的书面声明； 6、提供具有履行合同所必需的设备和专业技术能力的承诺函； 7、法定代表人授权书：法定代表人授权书及被授权人身份证明。（法定代表人直接参与开标只须提供其身份证明）。</w:t>
            </w:r>
          </w:p>
        </w:tc>
        <w:tc>
          <w:tcPr>
            <w:tcW w:type="dxa" w:w="1661"/>
          </w:tcPr>
          <w:p>
            <w:pPr>
              <w:pStyle w:val="null3"/>
            </w:pPr>
            <w:r>
              <w:rPr>
                <w:rFonts w:ascii="仿宋_GB2312" w:hAnsi="仿宋_GB2312" w:cs="仿宋_GB2312" w:eastAsia="仿宋_GB2312"/>
              </w:rPr>
              <w:t>服务内容及服务邀请应答表 商务应答表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拒绝政府采购领域商业贿赂承诺书.docx 标的清单 报价表 投标人关联承诺书.docx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其他符合性审核</w:t>
            </w:r>
          </w:p>
        </w:tc>
        <w:tc>
          <w:tcPr>
            <w:tcW w:type="dxa" w:w="3322"/>
          </w:tcPr>
          <w:p>
            <w:pPr>
              <w:pStyle w:val="null3"/>
            </w:pPr>
            <w:r>
              <w:rPr>
                <w:rFonts w:ascii="仿宋_GB2312" w:hAnsi="仿宋_GB2312" w:cs="仿宋_GB2312" w:eastAsia="仿宋_GB2312"/>
              </w:rPr>
              <w:t>1.响应文件报价是否具有唯一性； 2.响应文件的签署、加盖印章是否合格、有效； 3.响应报价是否未超过采购预算。</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重点、难点分析及应对措施</w:t>
            </w:r>
          </w:p>
        </w:tc>
        <w:tc>
          <w:tcPr>
            <w:tcW w:type="dxa" w:w="2492"/>
          </w:tcPr>
          <w:p>
            <w:pPr>
              <w:pStyle w:val="null3"/>
            </w:pPr>
            <w:r>
              <w:rPr>
                <w:rFonts w:ascii="仿宋_GB2312" w:hAnsi="仿宋_GB2312" w:cs="仿宋_GB2312" w:eastAsia="仿宋_GB2312"/>
              </w:rPr>
              <w:t>供应商针对本项目实施中的重点、难点问题分析准确、充分，提出针对性强、科学合理的应对措施，根据建设目标、内容和重点的理解程度计分。 1、对本项目理解透彻深入，重点难点分析准确、充分，有合理的应对措施，计10分； 2、对本项目的理解较清晰，重点难点分析较准确，应对措施基本合理，计8分； 3、对本项目的理解基本清晰，重点难点分析准确性一般，应对措施简单，计6分； 4、对本项目的理解浅显，重点难点分析简单，应对措施不明确，计4分； 5、对本项目的理解较差，重点难点分析较差，无应对措施，计2分； 6、未提供措施方案计0分。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策划执行方案</w:t>
            </w:r>
          </w:p>
        </w:tc>
        <w:tc>
          <w:tcPr>
            <w:tcW w:type="dxa" w:w="2492"/>
          </w:tcPr>
          <w:p>
            <w:pPr>
              <w:pStyle w:val="null3"/>
            </w:pPr>
            <w:r>
              <w:rPr>
                <w:rFonts w:ascii="仿宋_GB2312" w:hAnsi="仿宋_GB2312" w:cs="仿宋_GB2312" w:eastAsia="仿宋_GB2312"/>
              </w:rPr>
              <w:t>提供大赛活动所需的整体策划执行方案，包括但不限于：搭建与物料采购、赛事执行、赛事备案、场地租赁、赛事策划、与部门及时沟通，协商服务赛前培训、颁奖、创意文案、会场氛围布置等方面。对整体流程、阶段性工作、工作计划有详细说明。 1、策划执行方案思路清晰、内容全面、活动丰富、主题鲜明，完全满足采购需求，计15分； 2、策划执行方案思路较清晰、内容基本全面、活动较丰富、主题较鲜明，基本满足采购需求，计12分； 3、策划执行方案有思路、内容、活动、主题体现一般，计9分； 4、策划执行方案思路简单、内容、活动、主题体现不明确，计6分； 5、策划执行方案思路不清晰、内容有漏洞，活动主题体现较差，计3分； 6、未提供方案计0分。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场地布置</w:t>
            </w:r>
          </w:p>
        </w:tc>
        <w:tc>
          <w:tcPr>
            <w:tcW w:type="dxa" w:w="2492"/>
          </w:tcPr>
          <w:p>
            <w:pPr>
              <w:pStyle w:val="null3"/>
            </w:pPr>
            <w:r>
              <w:rPr>
                <w:rFonts w:ascii="仿宋_GB2312" w:hAnsi="仿宋_GB2312" w:cs="仿宋_GB2312" w:eastAsia="仿宋_GB2312"/>
              </w:rPr>
              <w:t>按照赛事标准要求进行场地布置、现场搭建，赛场布置和场地布置方案要包含形象设计、平面布置图以及各类物品的数量和总体计划安排。 1、方案完整详尽、合理可行，完全满足采购需求，计10分； 2、方案基本完整、合理可行，基本满足采购需求，计8分； 3、方案内容基本明确，合理性可行性一般，计6分； 4、方案内容简单，有一定合理性可行性，计4分； 5、方案内容有漏洞，合理性可行性较差，计2分； 6、未提供方案计0分。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媒体宣传方案</w:t>
            </w:r>
          </w:p>
        </w:tc>
        <w:tc>
          <w:tcPr>
            <w:tcW w:type="dxa" w:w="2492"/>
          </w:tcPr>
          <w:p>
            <w:pPr>
              <w:pStyle w:val="null3"/>
            </w:pPr>
            <w:r>
              <w:rPr>
                <w:rFonts w:ascii="仿宋_GB2312" w:hAnsi="仿宋_GB2312" w:cs="仿宋_GB2312" w:eastAsia="仿宋_GB2312"/>
              </w:rPr>
              <w:t>提供针对本项目的媒体宣传方案，媒体宣传推广方案明确、总体思路清晰，针对不同媒介平台有相应的媒体宣传方案，根据采购人需求制定各平台宣传方案（包含传统及新媒体宣传），宣传方案合理、完善、创新。 1、方案完整详尽、合理可行，完全满足采购需求，计10分； 2、方案基本完整、合理可行，基本满足采购需求，计8分； 3、方案内容基本明确，合理性可行性一般，计6分； 4、方案内容简单，有一定合理性可行性，计4分； 5、方案内容有漏洞，合理性可行性较差，计2分； 6、未提供方案计0分。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人员邀请</w:t>
            </w:r>
          </w:p>
        </w:tc>
        <w:tc>
          <w:tcPr>
            <w:tcW w:type="dxa" w:w="2492"/>
          </w:tcPr>
          <w:p>
            <w:pPr>
              <w:pStyle w:val="null3"/>
            </w:pPr>
            <w:r>
              <w:rPr>
                <w:rFonts w:ascii="仿宋_GB2312" w:hAnsi="仿宋_GB2312" w:cs="仿宋_GB2312" w:eastAsia="仿宋_GB2312"/>
              </w:rPr>
              <w:t>供应商提供拟邀请赛前辅导培训导师以及大赛现场评审导师名单。 1、导师人数合理，专业性强，计4分； 2、导师人数基本合理，基本专业，计3分； 3、导师人数不合理，专业性较差，计2分； 4、未提供计0分。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拟配备设施</w:t>
            </w:r>
          </w:p>
        </w:tc>
        <w:tc>
          <w:tcPr>
            <w:tcW w:type="dxa" w:w="2492"/>
          </w:tcPr>
          <w:p>
            <w:pPr>
              <w:pStyle w:val="null3"/>
            </w:pPr>
            <w:r>
              <w:rPr>
                <w:rFonts w:ascii="仿宋_GB2312" w:hAnsi="仿宋_GB2312" w:cs="仿宋_GB2312" w:eastAsia="仿宋_GB2312"/>
              </w:rPr>
              <w:t>供应商根据采购需求，提供赛事举办实际需求拟配备的设施及所需产品的详细清单，以及提供相关物料采买及运输方案。 1、方案完整详尽、合理可行，完全满足采购需求，计8分； 2、方案基本完整、合理可行，基本满足采购需求，计6分； 3、方案内容基本明确，合理性可行性一般，计4分； 4、方案内容简单，有一定合理性可行性，计2分； 5、未提供方案计0分。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供应商为本次大赛所提供奖杯、证书等货物货源渠道正规，有质量保证，确保无假货、翻新货，提供相关证明材料得2分，未提供不得分。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提供针对本项目制定的风险管理、安保方案，为保证比赛顺利进行，供应商对风险规避措施、安保措施、突发事件及应急响应措施等进行详细说明。 1、具有完善可行的应急处理预案，措施细致可操作性强，计6分； 2、应急处理预案完整性一般，具有一定的可操作性和针对性，计4分； 3、应急处理预案简单，可操作性和针对性较差，计2分； 4、未提供方案计0分。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提供项目管理组织架构、项目负责人及项目组人员，具有明确的人员组成及详细的分工安排，提供具备同类赛事活动经验的专业人员。人员分工明确、有较强的实施能力和类似从业经历，能保证服务质量及服务的及时性。 1、人员配备专业合理、专业涵盖全面、证明材料齐全，计10分； 2、人员配备基本专业合理、专业涵盖基本全面、证明材料齐全，计8分； 3、人员配备合理、专业涵盖一般、证明材料齐全，计6分； 4、人员配备一般，专业涵盖不足、证明材料不齐全，计4分； 5、人员配备不合理，不能满足项目服务所需人员要求，计2分； 6、未提供或有缺漏项计0分。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针对本项目制定服务质量保障措施，包括但不限于：赛事接待方案、后勤保障方案，根据比赛时间节点明确倒计时实施进度计划。确保大赛顺利进行 1、方案完全响应磋商文件且内容详尽，措施合理，可行性强，计5分； 2、方案响应磋商文件要求且较为完善，措施较为合理，具有一定可行性，计3分； 3、方案内容欠缺、不利于实施，计1分； 4、未提供或有缺漏项，计0分。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提供供应商2023年1月1日至今类似项目合同（以合同签订日期为准），每提供1个得2分，最高得10分。 备注：提供合同复印件加盖公章。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详见附件：投标人关联承诺书.docx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