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版本号：LZBA2026-47620260430001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绩效自评抽查复核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LZBA2026-476</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绩效自评抽查复核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LZBA2026-476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绩效自评抽查复核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运用AI大模型对115家省级部门绩效自评材料书面复审并出具报告及反馈意见，对不超过40个省级部门、不超过10个专项资金开展现场核查，并形成工作报告和反馈意见，具体详见磋商文件采购需求。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财务状况报告：财务状况报告：供应商2024年或2025年经审计的财务报告（事业法人可提供部门决算报告）或基本开户银行出具的资信证明或专业担保机构出具的投标担保函，供应商需在项目电子化交易系统中按要求上传相应证明文件；</w:t>
      </w:r>
    </w:p>
    <w:p>
      <w:pPr>
        <w:pStyle w:val="null3"/>
      </w:pPr>
      <w:r>
        <w:rPr>
          <w:rFonts w:ascii="仿宋_GB2312" w:hAnsi="仿宋_GB2312" w:cs="仿宋_GB2312" w:eastAsia="仿宋_GB2312"/>
        </w:rPr>
        <w:t>3、书面声明：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4、具有履行合同所必需的设备和专业技术能力的承诺函：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5、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6、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冰窖巷13号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王翠翠、刘婧、张波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代理服务费收费标准：1、成交单位在领取成交通知书前，须向采购代理机构支付采购代理服务费。 2、采购代理服务费参照《国家计委关于印发&lt;招标代理服务收费管理暂行办法&gt;的通知》（计价格[2002]1980号）和国家发展和改革委员会办公厅颁发的《关于招标代理服务收费有关问题的通知》（发改办价格[2003]857号）规定标准下浮30%收取。此采购代理服务费应计入响应报价中，但不需要单独开列。 3、采购代理服务费以转账或现金形式交纳，服务费缴纳账号如下： 收款单位：龙寰项目管理咨询有限公司 开户行：平安银行西安高新路支行 账号：30201278018499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项目验收按照陕西省财政厅项目验收的有关规定执行，项目验收的具体组织工作由项目甲方承担。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联系人：王翠翠、刘婧、张波</w:t>
      </w:r>
    </w:p>
    <w:p>
      <w:pPr>
        <w:pStyle w:val="null3"/>
      </w:pPr>
      <w:r>
        <w:rPr>
          <w:rFonts w:ascii="仿宋_GB2312" w:hAnsi="仿宋_GB2312" w:cs="仿宋_GB2312" w:eastAsia="仿宋_GB2312"/>
        </w:rPr>
        <w:t>联系电话：029-88228899-616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运用AI大模型对115家省级部门绩效自评材料书面复审并出具报告及反馈意见，对不超过 40个省级部门、不超过10个专项资金开展现场核查，并形成工作报告和反馈意见，具体详见磋商文件采购需求。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477,600.00</w:t>
      </w:r>
    </w:p>
    <w:p>
      <w:pPr>
        <w:pStyle w:val="null3"/>
      </w:pPr>
      <w:r>
        <w:rPr>
          <w:rFonts w:ascii="仿宋_GB2312" w:hAnsi="仿宋_GB2312" w:cs="仿宋_GB2312" w:eastAsia="仿宋_GB2312"/>
        </w:rPr>
        <w:t>采购包最高限价（元）: 477,600.00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绩效自评抽查复核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477,600.00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标的名称：绩效自评抽查复核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FF"/>
              </w:rPr>
              <w:t>1.项目背景：为深入贯彻落实《预算法》及其实施条例、《中共陕西省委陕西省人民政府关于全面实施预算绩效管理的实施意见》有关要求，提升部门绩效自评工作质量，根据《财政部关于开展2025年度中央对地方转移支付绩效自评工作的通知》（财监〔2026〕1号）、《陕西省财政项目支出绩效评价管理办法》（陕财办绩〔2020〕9号）、《陕西省财政厅关于开展2025年度预算执行情况绩效自评工作的通知》（陕财办绩〔2026〕1号），现计划开展2025年度预算执行情况绩效自评结果抽查工作。</w:t>
            </w:r>
          </w:p>
          <w:p>
            <w:pPr>
              <w:pStyle w:val="null3"/>
            </w:pPr>
            <w:r>
              <w:rPr>
                <w:rFonts w:ascii="仿宋_GB2312" w:hAnsi="仿宋_GB2312" w:cs="仿宋_GB2312" w:eastAsia="仿宋_GB2312"/>
                <w:sz w:val="20"/>
                <w:color w:val="0000FF"/>
              </w:rPr>
              <w:t>2.抽查对象：115家省级部门绩效自评材料书面复审并出具报告及反馈意见，对不超过40个省级部门、不超过10个专项资金开展现场核查，并形成工作报告和反馈意见。省级部门报送的2025年度部门（单位）整体支出、部门预算项目支出、部门管理的中央对地方转移支付和省级专项资金绩效自评材料，部门评价材料。抽查部门数量按照不低于省级一级预算单位（涉密除外）总数的三分之一确定。其中，部门整体支出绩效自评材料，抽查延伸到部门所属二级预算单位（部门下设二级单位数量不足10家，抽查全覆盖；下设10—30家，抽查不少于10家；下设30家以上，抽查不少于15家）；部门预算项目支出绩效自评材料，抽查200万元以上的部门预算项目及被抽查的二级预算单位对应的项目；中央对地方转移支付和省级专项资金绩效自评材料根据年度工作重点等选取部分资金进行抽查，延伸到本级预算单位或项目单位，并统筹自评复核、财政重点绩效评价发现问题整改“回头看”、财会监督等工作，抽查西安市、渭南市和商洛市，每市抽查不少于2个县（区）。</w:t>
            </w:r>
          </w:p>
          <w:p>
            <w:pPr>
              <w:pStyle w:val="null3"/>
            </w:pPr>
            <w:r>
              <w:rPr>
                <w:rFonts w:ascii="仿宋_GB2312" w:hAnsi="仿宋_GB2312" w:cs="仿宋_GB2312" w:eastAsia="仿宋_GB2312"/>
                <w:sz w:val="20"/>
                <w:color w:val="0000FF"/>
              </w:rPr>
              <w:t>3.对115家省级部门绩效自评材料书面复审要求：运用AI大模型分析并出具报告及反馈意见，报告要求问题查找准确、分析深入，格式规范，初稿形成后人工复核完成最终报告。</w:t>
            </w:r>
          </w:p>
          <w:p>
            <w:pPr>
              <w:pStyle w:val="null3"/>
            </w:pPr>
            <w:r>
              <w:rPr>
                <w:rFonts w:ascii="仿宋_GB2312" w:hAnsi="仿宋_GB2312" w:cs="仿宋_GB2312" w:eastAsia="仿宋_GB2312"/>
                <w:sz w:val="20"/>
                <w:color w:val="0000FF"/>
              </w:rPr>
              <w:t>4.现场核查要求：采取现场核查的方式时，结合全面复审发现问题、工作掌握情况、审计及其他监管部门书面反馈情况等，深入部门单位、项目现场等，查验预算执行数据的准确性，验证重大项目资金绩效目标实际完成情况，从以下3个方面深入评价。</w:t>
            </w:r>
          </w:p>
          <w:p>
            <w:pPr>
              <w:pStyle w:val="null3"/>
            </w:pPr>
            <w:r>
              <w:rPr>
                <w:rFonts w:ascii="仿宋_GB2312" w:hAnsi="仿宋_GB2312" w:cs="仿宋_GB2312" w:eastAsia="仿宋_GB2312"/>
                <w:sz w:val="20"/>
                <w:color w:val="0000FF"/>
              </w:rPr>
              <w:t>（一）自评规范性。主要包括：是否按照相关制度通知及时组织开展工作，是否及时报送评价材料；评价工作程序是否规范，自评报告、自评表、部门评价报告内容是否完整、规范；自评是否做到全覆盖；绩效信息公开情况。</w:t>
            </w:r>
          </w:p>
          <w:p>
            <w:pPr>
              <w:pStyle w:val="null3"/>
            </w:pPr>
            <w:r>
              <w:rPr>
                <w:rFonts w:ascii="仿宋_GB2312" w:hAnsi="仿宋_GB2312" w:cs="仿宋_GB2312" w:eastAsia="仿宋_GB2312"/>
                <w:sz w:val="20"/>
                <w:color w:val="0000FF"/>
              </w:rPr>
              <w:t>（二）目标实现性。主要包括：预算执行情况是否真实；绩效目标完成情况是否准确；成本及产出等指标是否达到既定标准；项目预期效益及满意度目标是否实现。</w:t>
            </w:r>
          </w:p>
          <w:p>
            <w:pPr>
              <w:pStyle w:val="null3"/>
            </w:pPr>
            <w:r>
              <w:rPr>
                <w:rFonts w:ascii="仿宋_GB2312" w:hAnsi="仿宋_GB2312" w:cs="仿宋_GB2312" w:eastAsia="仿宋_GB2312"/>
                <w:sz w:val="20"/>
                <w:color w:val="0000FF"/>
              </w:rPr>
              <w:t>（三）评价客观性。主要包括：评价报告数据资料是否真实准确；查找问题是否准确；是否对存在问题进行实质性分析；评价结论是否客观；评价结果是否应用等。</w:t>
            </w:r>
          </w:p>
          <w:p>
            <w:pPr>
              <w:pStyle w:val="null3"/>
            </w:pPr>
            <w:r>
              <w:rPr>
                <w:rFonts w:ascii="仿宋_GB2312" w:hAnsi="仿宋_GB2312" w:cs="仿宋_GB2312" w:eastAsia="仿宋_GB2312"/>
                <w:sz w:val="20"/>
                <w:color w:val="0000FF"/>
              </w:rPr>
              <w:t>5.工作要求：核查人员要加强与省级部门的沟通，合理安排工作进度，确保抽查工作高效推进。要认真履行职责，完善抽查流程，通过实际勘查、查阅原始凭证、走访座谈等方式，形成“情况分析、问题锁定、实地验证”闭环机制，确保抽查结论客观公正。对后续的数据分析，各类型报告撰写要提供持续支持。</w:t>
            </w:r>
          </w:p>
          <w:p>
            <w:pPr>
              <w:pStyle w:val="null3"/>
            </w:pPr>
            <w:r>
              <w:rPr>
                <w:rFonts w:ascii="仿宋_GB2312" w:hAnsi="仿宋_GB2312" w:cs="仿宋_GB2312" w:eastAsia="仿宋_GB2312"/>
                <w:sz w:val="20"/>
                <w:color w:val="0000FF"/>
              </w:rPr>
              <w:t>6.时间要求：</w:t>
            </w:r>
          </w:p>
          <w:p>
            <w:pPr>
              <w:pStyle w:val="null3"/>
            </w:pPr>
            <w:r>
              <w:rPr>
                <w:rFonts w:ascii="仿宋_GB2312" w:hAnsi="仿宋_GB2312" w:cs="仿宋_GB2312" w:eastAsia="仿宋_GB2312"/>
                <w:sz w:val="20"/>
                <w:color w:val="0000FF"/>
              </w:rPr>
              <w:t>（一）现场核查。</w:t>
            </w:r>
            <w:r>
              <w:rPr>
                <w:rFonts w:ascii="仿宋_GB2312" w:hAnsi="仿宋_GB2312" w:cs="仿宋_GB2312" w:eastAsia="仿宋_GB2312"/>
                <w:sz w:val="20"/>
                <w:color w:val="0000FF"/>
              </w:rPr>
              <w:t>自合同签订之日起</w:t>
            </w:r>
            <w:r>
              <w:rPr>
                <w:rFonts w:ascii="仿宋_GB2312" w:hAnsi="仿宋_GB2312" w:cs="仿宋_GB2312" w:eastAsia="仿宋_GB2312"/>
                <w:sz w:val="20"/>
                <w:color w:val="0000FF"/>
              </w:rPr>
              <w:t>—6月12日</w:t>
            </w:r>
            <w:r>
              <w:rPr>
                <w:rFonts w:ascii="仿宋_GB2312" w:hAnsi="仿宋_GB2312" w:cs="仿宋_GB2312" w:eastAsia="仿宋_GB2312"/>
                <w:sz w:val="20"/>
                <w:color w:val="0000FF"/>
              </w:rPr>
              <w:t>，</w:t>
            </w:r>
            <w:r>
              <w:rPr>
                <w:rFonts w:ascii="仿宋_GB2312" w:hAnsi="仿宋_GB2312" w:cs="仿宋_GB2312" w:eastAsia="仿宋_GB2312"/>
                <w:sz w:val="20"/>
                <w:color w:val="0000FF"/>
              </w:rPr>
              <w:t>核查人员到省级部门（单位）和相关市进行现场核查。核查过程中形成工作底稿，及时反馈意见。</w:t>
            </w:r>
          </w:p>
          <w:p>
            <w:pPr>
              <w:pStyle w:val="null3"/>
            </w:pPr>
            <w:r>
              <w:rPr>
                <w:rFonts w:ascii="仿宋_GB2312" w:hAnsi="仿宋_GB2312" w:cs="仿宋_GB2312" w:eastAsia="仿宋_GB2312"/>
                <w:sz w:val="20"/>
                <w:color w:val="0000FF"/>
              </w:rPr>
              <w:t>（二）汇总报告。</w:t>
            </w:r>
            <w:r>
              <w:rPr>
                <w:rFonts w:ascii="仿宋_GB2312" w:hAnsi="仿宋_GB2312" w:cs="仿宋_GB2312" w:eastAsia="仿宋_GB2312"/>
                <w:sz w:val="20"/>
                <w:color w:val="0000FF"/>
              </w:rPr>
              <w:t>6月15日—6月24日，核查人员根据资料审核及现场抽查情况，梳理汇总专项工作情况报告。</w:t>
            </w:r>
          </w:p>
          <w:p>
            <w:pPr>
              <w:pStyle w:val="null3"/>
            </w:pPr>
            <w:r>
              <w:rPr>
                <w:rFonts w:ascii="仿宋_GB2312" w:hAnsi="仿宋_GB2312" w:cs="仿宋_GB2312" w:eastAsia="仿宋_GB2312"/>
                <w:sz w:val="20"/>
                <w:color w:val="0000FF"/>
              </w:rPr>
              <w:t>（三）通报结果。</w:t>
            </w:r>
            <w:r>
              <w:rPr>
                <w:rFonts w:ascii="仿宋_GB2312" w:hAnsi="仿宋_GB2312" w:cs="仿宋_GB2312" w:eastAsia="仿宋_GB2312"/>
                <w:sz w:val="20"/>
                <w:color w:val="0000FF"/>
              </w:rPr>
              <w:t>6月25日—6月30日，对专项工作情况报告进行会商，并通报最终核查结果。</w:t>
            </w:r>
          </w:p>
          <w:p>
            <w:pPr>
              <w:pStyle w:val="null3"/>
            </w:pPr>
            <w:r>
              <w:rPr>
                <w:rFonts w:ascii="仿宋_GB2312" w:hAnsi="仿宋_GB2312" w:cs="仿宋_GB2312" w:eastAsia="仿宋_GB2312"/>
                <w:sz w:val="20"/>
                <w:color w:val="0000FF"/>
              </w:rPr>
              <w:t>（四）落实整改。</w:t>
            </w:r>
            <w:r>
              <w:rPr>
                <w:rFonts w:ascii="仿宋_GB2312" w:hAnsi="仿宋_GB2312" w:cs="仿宋_GB2312" w:eastAsia="仿宋_GB2312"/>
                <w:sz w:val="20"/>
                <w:color w:val="0000FF"/>
              </w:rPr>
              <w:t>7</w:t>
            </w:r>
            <w:r>
              <w:rPr>
                <w:rFonts w:ascii="仿宋_GB2312" w:hAnsi="仿宋_GB2312" w:cs="仿宋_GB2312" w:eastAsia="仿宋_GB2312"/>
                <w:sz w:val="20"/>
                <w:color w:val="0000FF"/>
              </w:rPr>
              <w:t>月</w:t>
            </w:r>
            <w:r>
              <w:rPr>
                <w:rFonts w:ascii="仿宋_GB2312" w:hAnsi="仿宋_GB2312" w:cs="仿宋_GB2312" w:eastAsia="仿宋_GB2312"/>
                <w:sz w:val="20"/>
                <w:color w:val="0000FF"/>
              </w:rPr>
              <w:t>1</w:t>
            </w:r>
            <w:r>
              <w:rPr>
                <w:rFonts w:ascii="仿宋_GB2312" w:hAnsi="仿宋_GB2312" w:cs="仿宋_GB2312" w:eastAsia="仿宋_GB2312"/>
                <w:sz w:val="20"/>
                <w:color w:val="0000FF"/>
              </w:rPr>
              <w:t>日—</w:t>
            </w:r>
            <w:r>
              <w:rPr>
                <w:rFonts w:ascii="仿宋_GB2312" w:hAnsi="仿宋_GB2312" w:cs="仿宋_GB2312" w:eastAsia="仿宋_GB2312"/>
                <w:sz w:val="20"/>
                <w:color w:val="0000FF"/>
              </w:rPr>
              <w:t>7</w:t>
            </w:r>
            <w:r>
              <w:rPr>
                <w:rFonts w:ascii="仿宋_GB2312" w:hAnsi="仿宋_GB2312" w:cs="仿宋_GB2312" w:eastAsia="仿宋_GB2312"/>
                <w:sz w:val="20"/>
                <w:color w:val="0000FF"/>
              </w:rPr>
              <w:t>月</w:t>
            </w:r>
            <w:r>
              <w:rPr>
                <w:rFonts w:ascii="仿宋_GB2312" w:hAnsi="仿宋_GB2312" w:cs="仿宋_GB2312" w:eastAsia="仿宋_GB2312"/>
                <w:sz w:val="20"/>
                <w:color w:val="0000FF"/>
              </w:rPr>
              <w:t>31</w:t>
            </w:r>
            <w:r>
              <w:rPr>
                <w:rFonts w:ascii="仿宋_GB2312" w:hAnsi="仿宋_GB2312" w:cs="仿宋_GB2312" w:eastAsia="仿宋_GB2312"/>
                <w:sz w:val="20"/>
                <w:color w:val="0000FF"/>
              </w:rPr>
              <w:t>日，省级部门（单位）和相关市针对核查发现问题情况，组织整改落实并报送整改情况，要求核查人员配合追踪。</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计划从2026年5月开始，至2026年7月底结束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项目验收按照陕西省财政厅项目验收的有关规定执行，项目验收的具体组织工作由项目甲方承担。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采购包1：付款条件说明：首期款：签订合同后，供应商提供与支付金额等额的增值税普通发票，采购人确认后启动首期款支付流程，达到付款条件起30日内，支付合同总金额的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包1：付款条件说明：尾款（验收款）：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根据最终结算金额与已付款项的差额提供等额增值税普通发票。甲方确认后启动支付流程，并在达到付款条件起30日内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3.4.1采购标的对应的中小企业划分标准所属行业为租赁和商务服务业。从业人员300人以下或资产总额120000万元以下的 为中小微型企业。其中，从业人员100人及以上，且资产总额8000万元及以上的为中型企业；从业人员10人及以上，且资产总额100万元及以上的为小型企业；从业人员 10人以下或资产总额100万元以下的为微型企业。 3.4.2本项目非专门面向中小企业采购。 3.4.3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供应商2024年或2025年经审计的财务报告（事业法人可提供部门决算报告）或基本开户银行出具的资信证明或专业担保机构出具的投标担保函，供应商需在项目电子化交易系统中按要求上传相应证明文件；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2024年或2025年经审计的财务报告（事业法人可提供部门决算报告）或基本开户银行出具的资信证明或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履行合同所必需的设备和专业技术能力书面声明函：具有履行合同所必需的设备和专业技术能力书面声明函，供应商需在项目电子化交易系统中按要求上传相应证明文件并进行电子签章；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w:t>
            </w:r>
          </w:p>
        </w:tc>
        <w:tc>
          <w:tcPr>
            <w:tcW w:type="dxa" w:w="1661"/>
          </w:tcPr>
          <w:p>
            <w:pPr>
              <w:pStyle w:val="null3"/>
            </w:pPr>
            <w:r>
              <w:rPr>
                <w:rFonts w:ascii="仿宋_GB2312" w:hAnsi="仿宋_GB2312" w:cs="仿宋_GB2312" w:eastAsia="仿宋_GB2312"/>
              </w:rPr>
              <w:t>1.供应商应提交的相关资格证明材料.docx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 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4.法定代表人身份证明书及法定代表人授权书.docx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4.法定代表人身份证明书及法定代表人授权书.docx 中小企业声明函 2.磋商一览表.docx 报价表 5.技术方案.docx 响应文件封面 6.其他资料.docx 3.商务条款偏离表.docx 残疾人福利性单位声明函 标的清单 响应函 1.供应商应提交的相关资格证明材料.docx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2.磋商一览表.docx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项目需求的理解</w:t>
            </w:r>
          </w:p>
        </w:tc>
        <w:tc>
          <w:tcPr>
            <w:tcW w:type="dxa" w:w="2492"/>
          </w:tcPr>
          <w:p>
            <w:pPr>
              <w:pStyle w:val="null3"/>
            </w:pPr>
            <w:r>
              <w:rPr>
                <w:rFonts w:ascii="仿宋_GB2312" w:hAnsi="仿宋_GB2312" w:cs="仿宋_GB2312" w:eastAsia="仿宋_GB2312"/>
              </w:rPr>
              <w:t>供应商对2025年度省级部门绩效自评结果抽查工作的背景、目标及重难点理解。 1.能全面的结合本项目的实际情况进行分析，思路清晰，对2025年度省级部门绩效自评结果抽查工作的背景、目标及重难点理解理解深刻到位、全面，能抓住重点问题并给出全面的解决方案，得4分； 2.能较全面的结合本项目的实际情况进行分析，思路较清晰，对2025年度省级部门绩效自评结果抽查工作的背景、目标及重难点理解较准确，基本能抓住重点问题并给出的解决方案，整体实施方案较合理，得3分； 3.能结合本项目的实际情况进行分析，思路基本清晰，对2025年度省级部门绩效自评结果抽查工作的背景、目标及重难点理解基本准确，基本能抓住重点问题并给出的解决方案，整体实施方案基本合理，得2分； 4.未能全面结合本项目的实际情况进行分析，思路不太清晰，对2025年度省级部门绩效自评结果抽查工作的背景、目标及重难点理解不太准确，不太全面，未能准确抓住重点问题并给出解决方案，得1分；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供应商需提供完整的工作实施方案，包含书面复审、现场核查、报告撰写等全流程安排、进度计划。 1.方案细致完善、合理性强、完全符合项目需求，针对性、可操作性强，得6分； 2.方案较为细致完善、较有合理性、符合项目需求，针对性、可操作性较强，得5分； 3.方案较完善，提供内容基本合理，基本贴近项目需求，针对性、可操作性一般，得4分； 4.方案基本完善，提供内容基本合理，基本贴近项目需求，针对性、可操作性一般，得3分； 5.方案简单，提供内容简单，部分贴近项目需求，得2分；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AI大模型 应用方案</w:t>
            </w:r>
          </w:p>
        </w:tc>
        <w:tc>
          <w:tcPr>
            <w:tcW w:type="dxa" w:w="2492"/>
          </w:tcPr>
          <w:p>
            <w:pPr>
              <w:pStyle w:val="null3"/>
            </w:pPr>
            <w:r>
              <w:rPr>
                <w:rFonts w:ascii="仿宋_GB2312" w:hAnsi="仿宋_GB2312" w:cs="仿宋_GB2312" w:eastAsia="仿宋_GB2312"/>
              </w:rPr>
              <w:t>针对115家省级部门材料的书面复审，供应商需详细阐述AI大模型的应用路径，包括：如何利用AI进行海量数据的自动分析与问题初筛、AI模型的训练或调优逻辑、如何确保AI输出报告的规范性与问题查找的准确性、以及“AI初稿+人工复核”的具体质量控制流程。 1.方案细致完善、合理性强、完全符合项目需求，针对性、可操作性极强，得20分； 2.方案较为细致完善、较有合理性、符合项目需求，针对性、可操作性较强，得16分； 3.方案较完善，提供内容基本合理，基本贴近项目需求，针对性、可操作性一般，得12分； 4.方案基本完善，提供内容基本合理，基本贴近项目需求，针对性、可操作性一般，得8分； 5.方案简单，提供内容简单，部分贴近项目需求，得4分；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现场核查 实施方案</w:t>
            </w:r>
          </w:p>
        </w:tc>
        <w:tc>
          <w:tcPr>
            <w:tcW w:type="dxa" w:w="2492"/>
          </w:tcPr>
          <w:p>
            <w:pPr>
              <w:pStyle w:val="null3"/>
            </w:pPr>
            <w:r>
              <w:rPr>
                <w:rFonts w:ascii="仿宋_GB2312" w:hAnsi="仿宋_GB2312" w:cs="仿宋_GB2312" w:eastAsia="仿宋_GB2312"/>
              </w:rPr>
              <w:t>设计不超过40个省级部门及10个专项资金的现场核查方案。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评价指标体 系构建</w:t>
            </w:r>
          </w:p>
        </w:tc>
        <w:tc>
          <w:tcPr>
            <w:tcW w:type="dxa" w:w="2492"/>
          </w:tcPr>
          <w:p>
            <w:pPr>
              <w:pStyle w:val="null3"/>
            </w:pPr>
            <w:r>
              <w:rPr>
                <w:rFonts w:ascii="仿宋_GB2312" w:hAnsi="仿宋_GB2312" w:cs="仿宋_GB2312" w:eastAsia="仿宋_GB2312"/>
              </w:rPr>
              <w:t>供应商需针对“自评规范性、目标实现性、评价客观性”三个维度，制定科学、细化的核查指标体系和评分标准；确保评价结论客观公正。 1.评价指标体系细致详细、合理性强、完全符合项目情况针对性强，得10分； 2.评价指标体系较为细致详细、较有合理性、针对性较强，得7分； 3.评价指标体系一般、合理性一般、针对性一般，得4分； 4.评价指标体系不完善，提供内容简单有欠缺，未贴合实际，得1分； 5.未提供不计分。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质量控制与保密措施</w:t>
            </w:r>
          </w:p>
        </w:tc>
        <w:tc>
          <w:tcPr>
            <w:tcW w:type="dxa" w:w="2492"/>
          </w:tcPr>
          <w:p>
            <w:pPr>
              <w:pStyle w:val="null3"/>
            </w:pPr>
            <w:r>
              <w:rPr>
                <w:rFonts w:ascii="仿宋_GB2312" w:hAnsi="仿宋_GB2312" w:cs="仿宋_GB2312" w:eastAsia="仿宋_GB2312"/>
              </w:rPr>
              <w:t>供应商需制定严格的保密管理制度和数据安全措施；同时，提供针对抽查复核的质量内控措施，确保出具的书面复审报告、现场核查工作底稿及专项工作报告符合财政厅要求。 1.措施细致详细、合理性强、完全符合项目情况针对性强，得5分； 2.措施较为细致详细、较有合理性、针对性较强，得4分； 3.措施较为细致详细、较有合理性、针对性一般，得3分； 4.措施一般、合理性一般、针对性一般，得2分； 5.措施不完善，提供内容简单有欠缺，未贴合实际，得1分； 6.未提供不计分。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项目负责人需具备丰富的预算绩效管理或财政评审经验；团队成员需配置合理，须包含具备AI数据分析能力、熟悉财政财务、行业政策等，以确保能胜任“AI分析+现场核查”的双重任务。 1.人员配备齐全，行业经验丰富，技术团队专业，人员结构配置合理、职责任务明确、分工合理，得10分； 2.人员配备较齐全，行业经验较丰富，技术团队专业性较强，人员结构配置较合理、职责任务较明确、分工较合理，得7分； 3.人员配备基本齐全，行业经验一般，技术团队有一定专业性，人员结构配置基本合理、职责任务较明确、分工基本合理，得4分； 4.人员配备基本齐全，行业经验缺乏，技术团队专业性一般，人员结构配置合理性一般、职责任务明确性、分工合理性一般，得1分； 5.未提供不计分。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针对2026年7月1日-31日的整改落实阶段，供应商人需承诺配合追踪整改情况。同时，对后续的数据分析、各类型报告撰写提供持续的智力支持和技术服务，响应时间短，服务承诺具体可行。 （1）承诺明确清晰，完全符合采购人规定，得10分； （2）承诺明确清晰，符合采购人规定，得7分； （3）承诺基本明确清晰，基本符合采购人规定， 计4分； （4）承诺不太明确清晰，不太符合采购人规定， 计1分； （5）供应商未提供上述内容不得分。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供应商近三年（2023年1月1日至今）承接过类似财政预算绩效自评复核、重点绩效评价或财政核查服务项目等类似业绩；每提供一个业绩合同或中标/成交通知书得2分，满分10分。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价格分统一采用低价优先法计算，即满足竞争性磋商文件要求且最终报价最低的为评标基准价，其价格分为满分。其他供应商的价格分统一按照下列公式计算： 报价得分=（评审基准价/投标报价）×10计算分数时四舍五入取小数点后两位。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详见附件：1.供应商应提交的相关资格证明材料.docx</w:t>
      </w:r>
    </w:p>
    <w:p>
      <w:pPr>
        <w:pStyle w:val="null3"/>
        <w:ind w:firstLine="960"/>
      </w:pPr>
      <w:r>
        <w:rPr>
          <w:rFonts w:ascii="仿宋_GB2312" w:hAnsi="仿宋_GB2312" w:cs="仿宋_GB2312" w:eastAsia="仿宋_GB2312"/>
        </w:rPr>
        <w:t>详见附件：2.磋商一览表.docx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详见附件：4.法定代表人身份证明书及法定代表人授权书.docx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详见附件：合同-绩效自评抽查复核-定稿.docx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